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9A1F9D" w:rsidP="004C53A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64D4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</w:p>
        </w:tc>
        <w:tc>
          <w:tcPr>
            <w:tcW w:w="4110" w:type="dxa"/>
          </w:tcPr>
          <w:p w:rsidR="00625BE0" w:rsidRPr="00654B90" w:rsidRDefault="00625BE0" w:rsidP="00E364D4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A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1061</w:t>
            </w:r>
            <w:r w:rsidR="004C53AA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54B90" w:rsidRDefault="00E364D4" w:rsidP="00E3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системе оплаты труда руководителей, их заместителей и главных бухгалтеров муниципальных автономных, казенных и бюджетных учреждений района</w:t>
      </w:r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пост</w:t>
      </w:r>
      <w:proofErr w:type="gramStart"/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>т 17.11.2023 № 1403</w:t>
      </w:r>
      <w:r w:rsidR="007A6A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22.02.2024 № 196</w:t>
      </w:r>
      <w:r w:rsidR="002A1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64D4" w:rsidRPr="00654B90" w:rsidRDefault="00E364D4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25BE0" w:rsidRPr="00654B90" w:rsidRDefault="00625BE0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A67228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25" w:rsidRPr="00654B90" w:rsidRDefault="00F21525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подразделениям Администрации Александровского района Томской области осуществлять контроль:</w:t>
      </w:r>
    </w:p>
    <w:p w:rsidR="00F21525" w:rsidRPr="00654B90" w:rsidRDefault="0082625C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своевременностью заключения, изменения, прекращения трудовых договоров с руководите</w:t>
      </w:r>
      <w:r w:rsidR="002E310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2E310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</w:t>
      </w:r>
      <w:r w:rsidR="002E310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еждений;</w:t>
      </w:r>
    </w:p>
    <w:p w:rsidR="002E310E" w:rsidRPr="00654B90" w:rsidRDefault="002E310E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2625C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обоснованностью начисления заработной платы руководителям муниципальных автономных, казенных и бюджетных учреждений и соблюдением ими условий трудового договора.</w:t>
      </w:r>
    </w:p>
    <w:p w:rsidR="00E16153" w:rsidRDefault="006C4194" w:rsidP="00E16153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Признать </w:t>
      </w:r>
      <w:r w:rsidR="00625BE0" w:rsidRPr="00654B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утратившим силу постановление Администрации Александровского района Томской области от </w:t>
      </w:r>
      <w:r w:rsidR="00E364D4" w:rsidRPr="00654B90">
        <w:rPr>
          <w:rFonts w:ascii="Times New Roman" w:eastAsia="Times New Roman" w:hAnsi="Times New Roman" w:cs="Times New Roman"/>
          <w:sz w:val="24"/>
          <w:szCs w:val="20"/>
          <w:lang w:eastAsia="ru-RU"/>
        </w:rPr>
        <w:t>17.12.2018 №1526</w:t>
      </w:r>
      <w:r w:rsidR="00625BE0" w:rsidRPr="00654B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625BE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системе оплаты труда руководителей, их заместителей и главных бухгалтеров муниципальных учреждений»</w:t>
      </w:r>
      <w:r w:rsidR="00625BE0" w:rsidRPr="00654B9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16153" w:rsidRDefault="00E16153" w:rsidP="00E16153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</w:t>
      </w:r>
      <w:hyperlink r:id="rId9" w:history="1">
        <w:r w:rsidRPr="006915E4">
          <w:rPr>
            <w:rStyle w:val="afc"/>
            <w:rFonts w:ascii="Times New Roman" w:eastAsia="Times New Roman" w:hAnsi="Times New Roman" w:cs="Times New Roman"/>
            <w:sz w:val="24"/>
            <w:szCs w:val="20"/>
            <w:lang w:eastAsia="ru-RU"/>
          </w:rPr>
          <w:t>www.alsadm.ru</w:t>
        </w:r>
      </w:hyperlink>
      <w:r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625BE0" w:rsidRPr="00E16153" w:rsidRDefault="00E16153" w:rsidP="00E16153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на следующий день после его официального обнародова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ния </w:t>
      </w:r>
      <w:r w:rsidR="004C53AA"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распространяется на правоотношения, возникшие </w:t>
      </w:r>
      <w:r w:rsidR="00625BE0"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="00E364D4"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>01 июня 2022</w:t>
      </w:r>
      <w:r w:rsidR="00625BE0" w:rsidRPr="00E161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625BE0" w:rsidRPr="00654B90" w:rsidRDefault="00625BE0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 w:rsidR="006C419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4D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экономике и финансам –</w:t>
      </w:r>
      <w:r w:rsidR="00E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4D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Финансового отдела.</w:t>
      </w:r>
    </w:p>
    <w:p w:rsidR="00625BE0" w:rsidRPr="00654B90" w:rsidRDefault="00625BE0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54B90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54B90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625BE0" w:rsidP="00625BE0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  <w:tc>
          <w:tcPr>
            <w:tcW w:w="4874" w:type="dxa"/>
          </w:tcPr>
          <w:p w:rsidR="00625BE0" w:rsidRPr="00654B90" w:rsidRDefault="00E364D4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Мумбер</w:t>
            </w:r>
            <w:proofErr w:type="spellEnd"/>
          </w:p>
        </w:tc>
      </w:tr>
    </w:tbl>
    <w:p w:rsidR="006C4194" w:rsidRPr="00654B90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4D4" w:rsidRPr="00654B90" w:rsidRDefault="00E364D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Зубкова Е.В.</w:t>
      </w:r>
    </w:p>
    <w:p w:rsidR="006C4194" w:rsidRPr="00654B90" w:rsidRDefault="00E364D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Тимонова Е.В.</w:t>
      </w:r>
    </w:p>
    <w:p w:rsidR="00625BE0" w:rsidRPr="00654B90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Бобрешева</w:t>
      </w:r>
      <w:proofErr w:type="spellEnd"/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Л.Н.</w:t>
      </w:r>
      <w:r w:rsidR="00625BE0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54B90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культуры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и молодежной политики Администрации Александровского района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6153" w:rsidRDefault="00676282" w:rsidP="00E16153">
      <w:pPr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676282" w:rsidRPr="00FA695F" w:rsidRDefault="00676282" w:rsidP="00E16153">
      <w:pPr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="00E16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Александровского района Томской области</w:t>
      </w:r>
    </w:p>
    <w:p w:rsidR="00676282" w:rsidRPr="00FA695F" w:rsidRDefault="00676282" w:rsidP="00E16153">
      <w:pPr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A1F9D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FA695F"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>.08</w:t>
      </w:r>
      <w:r w:rsidR="004C53AA"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FA695F"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4C53AA"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6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A1F9D">
        <w:rPr>
          <w:rFonts w:ascii="Times New Roman" w:eastAsia="Times New Roman" w:hAnsi="Times New Roman" w:cs="Times New Roman"/>
          <w:sz w:val="20"/>
          <w:szCs w:val="20"/>
          <w:lang w:eastAsia="ru-RU"/>
        </w:rPr>
        <w:t>1061</w:t>
      </w:r>
    </w:p>
    <w:p w:rsidR="008A7B71" w:rsidRPr="00654B90" w:rsidRDefault="008A7B71" w:rsidP="008A7B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71" w:rsidRPr="00654B90" w:rsidRDefault="008A7B71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A7B71" w:rsidRPr="00654B90" w:rsidRDefault="00A67228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</w:t>
      </w:r>
      <w:r w:rsidR="008A7B7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труда </w:t>
      </w:r>
      <w:r w:rsidR="008A7B7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муниципальных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автономных, казенных и бюджетных </w:t>
      </w:r>
      <w:r w:rsidR="008A7B7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8A7B71" w:rsidRPr="00654B90" w:rsidRDefault="008A7B71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71" w:rsidRPr="00654B90" w:rsidRDefault="00230D12" w:rsidP="0023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7B7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A7B71" w:rsidRPr="00654B90" w:rsidRDefault="008A7B71" w:rsidP="008A7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0" w:rsidRPr="00654B90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систему оплаты труда руководителей, их заместителей и главных бухгалтеров муниципальных автономных, казенных и бюджетных учреждений района (далее по тексту настоящего Положения, когда оно относится к учреждениям всех трех типов одновременно - </w:t>
      </w:r>
      <w:r w:rsidR="0079424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чреждения), устанавливая </w:t>
      </w:r>
      <w:r w:rsidR="000F771A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них:</w:t>
      </w:r>
    </w:p>
    <w:p w:rsidR="002C6D70" w:rsidRPr="00654B90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C6D7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окладов; </w:t>
      </w:r>
    </w:p>
    <w:p w:rsidR="002C6D70" w:rsidRPr="00654B90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C6D7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компенсационных выплат; </w:t>
      </w:r>
    </w:p>
    <w:p w:rsidR="002C6D70" w:rsidRPr="00654B90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C6D7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основания выплаты и размеры стимулирующих выплат, в частности премий.</w:t>
      </w:r>
    </w:p>
    <w:p w:rsidR="002C6D70" w:rsidRPr="00654B90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указанные в подпунктах 2</w:t>
      </w:r>
      <w:r w:rsidR="00230D12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="00230D12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настоящего Положения, и должностной оклад не образуют новый должностной оклад и не учитываются при исчислении иных компенсационных и стимулирующих выплат, 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2C6D70" w:rsidRPr="00654B90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расходов на выплату работникам, указанным в </w:t>
      </w:r>
      <w:hyperlink r:id="rId10" w:history="1">
        <w:r w:rsidRPr="00654B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настоящего Положения</w:t>
        </w:r>
      </w:hyperlink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заработной платы (в том числе на премирование), материальной помощи,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увольнения работника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осуществляется:</w:t>
      </w:r>
    </w:p>
    <w:p w:rsidR="002C6D70" w:rsidRPr="00654B90" w:rsidRDefault="002C6D70" w:rsidP="00571585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руководителям, </w:t>
      </w:r>
      <w:r w:rsidR="0079424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 и главным бухгалтерам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казенных учреждений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счет бюджетных ассигнований учреждению, в том числе бюджетных ассигнований, доведенных учреждению, при условии фактического поступления в бюджет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финансового года доходов от платных услуг, оказываемых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казенными учреждениями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B8" w:rsidRPr="00654B90" w:rsidRDefault="002C6D70" w:rsidP="00BA0AB8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руководителям,</w:t>
      </w:r>
      <w:r w:rsidR="0079424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 и главным бухгалтерам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автономных и бюджетных учреждений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proofErr w:type="gramStart"/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учреждению и (или) средств учреждения от приносящей доход деятельности (при недостаточности средств учреждения от приносящей доход деятельности на указанные цели обеспечение расходов на премирование руководителя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или бюджетного учреждения </w:t>
      </w:r>
      <w:r w:rsidR="00170A6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 установленных для бюджета</w:t>
      </w:r>
      <w:r w:rsidR="0057158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5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производится);</w:t>
      </w:r>
    </w:p>
    <w:p w:rsidR="009A050E" w:rsidRPr="00654B90" w:rsidRDefault="009A050E" w:rsidP="009A050E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учреждение находится в стадии ликвидации и сокращение численности работников (со дня подачи уведомления о прекращении деятельности в государственные органы) составило не менее 75%, то премирование руководителей осуществляется в размере 25% от годового премиального фонда, у</w:t>
      </w:r>
      <w:r w:rsidR="00C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казанного в таблице 2 приложения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1 ,</w:t>
      </w:r>
      <w:r w:rsidR="00C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C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2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Положению.</w:t>
      </w:r>
    </w:p>
    <w:p w:rsidR="00256E63" w:rsidRPr="00654B90" w:rsidRDefault="00BA0AB8" w:rsidP="00CB16E8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 объем работы по совместительству каждого руководителя образовательного учреждения и его заместителя на педагогических должностях устанавливается </w:t>
      </w:r>
      <w:r w:rsidR="00256E6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учредителя в отношении, которых осуществляются функции и полномочия учредителя.</w:t>
      </w:r>
    </w:p>
    <w:p w:rsidR="00571585" w:rsidRPr="00654B90" w:rsidRDefault="00A97C6C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Оплата труда руководителей, их заместителей и главных бухгалтеров муниципальных учреждений не может быть меньше минимальной заработной платы установленной в Александровском районе Томской области.</w:t>
      </w:r>
    </w:p>
    <w:p w:rsidR="00230D12" w:rsidRPr="00654B90" w:rsidRDefault="00230D12" w:rsidP="00230D12">
      <w:pPr>
        <w:pStyle w:val="ac"/>
        <w:tabs>
          <w:tab w:val="left" w:pos="851"/>
        </w:tabs>
        <w:spacing w:after="0" w:line="240" w:lineRule="atLeast"/>
        <w:ind w:left="12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85" w:rsidRPr="00654B90" w:rsidRDefault="00230D12" w:rsidP="00230D12">
      <w:pPr>
        <w:pStyle w:val="ac"/>
        <w:tabs>
          <w:tab w:val="left" w:pos="851"/>
        </w:tabs>
        <w:spacing w:after="0" w:line="240" w:lineRule="atLeast"/>
        <w:ind w:left="12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158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</w:t>
      </w:r>
    </w:p>
    <w:p w:rsidR="00A17663" w:rsidRPr="00654B90" w:rsidRDefault="00A17663" w:rsidP="00230D12">
      <w:pPr>
        <w:pStyle w:val="ac"/>
        <w:tabs>
          <w:tab w:val="left" w:pos="851"/>
        </w:tabs>
        <w:spacing w:after="0" w:line="240" w:lineRule="atLeast"/>
        <w:ind w:left="12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85" w:rsidRPr="00654B90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конкретного руководителя Учреждения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</w:t>
      </w:r>
      <w:r w:rsidR="00C578EA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</w:t>
      </w:r>
      <w:r w:rsidR="00F554A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230D12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554A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230D12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таблицей</w:t>
      </w:r>
      <w:r w:rsidR="00A1766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приложения 2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A1766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группы по оплате труда руководите</w:t>
      </w:r>
      <w:r w:rsidR="0079424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реждения, </w:t>
      </w:r>
      <w:proofErr w:type="gramStart"/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578EA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относит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учреждение.</w:t>
      </w:r>
    </w:p>
    <w:p w:rsidR="001654A4" w:rsidRPr="00654B90" w:rsidRDefault="00794249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отнесения У</w:t>
      </w:r>
      <w:r w:rsidR="001654A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 к группам по оплате труда руководителя учреждения определяются постановлением Администрации Александровского района Томской области.</w:t>
      </w:r>
    </w:p>
    <w:p w:rsidR="00170A6E" w:rsidRPr="00654B90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105DB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должностных окладов заместителей руководител</w:t>
      </w:r>
      <w:r w:rsidR="0079424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главного бухгалтера Уч</w:t>
      </w:r>
      <w:r w:rsidR="00105DB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устанавливаются на 10 – 30 % ниже должностного оклада руководителя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C87" w:rsidRPr="00654B90" w:rsidRDefault="008C1C87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заместителей руководителя и главного бухгалтера </w:t>
      </w:r>
      <w:r w:rsidR="0007237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руководителем которого является муниципальный служащий, устанавливаются на 10-30% ниже д</w:t>
      </w:r>
      <w:r w:rsidR="0014232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олжностного оклада руководителя</w:t>
      </w:r>
      <w:r w:rsidR="00836AF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следующих повышающих коэффициентов:</w:t>
      </w:r>
    </w:p>
    <w:p w:rsidR="00BD7A2B" w:rsidRPr="00654B90" w:rsidRDefault="00A17663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D7A2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заместителя руководителя – коэффициент 2,31;</w:t>
      </w:r>
    </w:p>
    <w:p w:rsidR="00BD7A2B" w:rsidRPr="00654B90" w:rsidRDefault="00A17663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D7A2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главного бухгалтера – коэффициент 1,94.</w:t>
      </w:r>
    </w:p>
    <w:p w:rsidR="00BD7A2B" w:rsidRPr="00654B90" w:rsidRDefault="00BD7A2B" w:rsidP="00BD7A2B">
      <w:pPr>
        <w:pStyle w:val="ac"/>
        <w:tabs>
          <w:tab w:val="left" w:pos="851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54B90" w:rsidRDefault="00A17663" w:rsidP="00A17663">
      <w:pPr>
        <w:pStyle w:val="ac"/>
        <w:spacing w:after="0" w:line="240" w:lineRule="atLeast"/>
        <w:ind w:left="12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BD7A2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</w:t>
      </w:r>
      <w:proofErr w:type="gramEnd"/>
      <w:r w:rsidR="00BD7A2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</w:p>
    <w:p w:rsidR="00BD7A2B" w:rsidRPr="00654B90" w:rsidRDefault="00BD7A2B" w:rsidP="00BD7A2B">
      <w:pPr>
        <w:tabs>
          <w:tab w:val="left" w:pos="851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54B90" w:rsidRDefault="00E86797" w:rsidP="00072379">
      <w:pPr>
        <w:pStyle w:val="ac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условий труда руководителю Учреждения, его заместителям и главному бухгалтеру  устанавливаются следующие компенсационные выплаты:</w:t>
      </w:r>
    </w:p>
    <w:p w:rsidR="00E86797" w:rsidRPr="00654B90" w:rsidRDefault="00654B90" w:rsidP="00654B90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8679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местностям);</w:t>
      </w:r>
    </w:p>
    <w:p w:rsidR="00BA0AB8" w:rsidRPr="00654B90" w:rsidRDefault="00654B90" w:rsidP="00654B90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8679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BA0AB8" w:rsidRPr="00654B90" w:rsidRDefault="00654B90" w:rsidP="00654B90">
      <w:pPr>
        <w:tabs>
          <w:tab w:val="left" w:pos="851"/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97C6C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совмещение профессий (должностей);</w:t>
      </w:r>
    </w:p>
    <w:p w:rsidR="00A97C6C" w:rsidRPr="00654B90" w:rsidRDefault="00654B90" w:rsidP="00654B90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A97C6C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86797" w:rsidRPr="00654B90" w:rsidRDefault="00654B90" w:rsidP="00654B90">
      <w:pPr>
        <w:tabs>
          <w:tab w:val="left" w:pos="851"/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679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предусмотренные федеральными нормативными правовыми актами.</w:t>
      </w:r>
    </w:p>
    <w:p w:rsidR="00E86797" w:rsidRPr="00654B90" w:rsidRDefault="00E86797" w:rsidP="00072379">
      <w:pPr>
        <w:pStyle w:val="ac"/>
        <w:numPr>
          <w:ilvl w:val="0"/>
          <w:numId w:val="20"/>
        </w:num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законодательством и иными нормативными правовыми актами, содержащими нормы трудового права.</w:t>
      </w:r>
    </w:p>
    <w:p w:rsidR="00E86797" w:rsidRPr="00654B90" w:rsidRDefault="00E86797" w:rsidP="00E86797">
      <w:pPr>
        <w:pStyle w:val="ac"/>
        <w:spacing w:after="0" w:line="240" w:lineRule="atLeast"/>
        <w:ind w:left="12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54B90" w:rsidRDefault="00A17663" w:rsidP="00A17663">
      <w:pPr>
        <w:pStyle w:val="ac"/>
        <w:spacing w:after="0" w:line="240" w:lineRule="atLeast"/>
        <w:ind w:left="12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8679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</w:t>
      </w:r>
    </w:p>
    <w:p w:rsidR="00E86797" w:rsidRPr="00654B90" w:rsidRDefault="00E86797" w:rsidP="00E86797">
      <w:pPr>
        <w:pStyle w:val="ac"/>
        <w:spacing w:after="0" w:line="240" w:lineRule="atLeast"/>
        <w:ind w:left="12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A0" w:rsidRPr="00654B90" w:rsidRDefault="00D14CA0" w:rsidP="00FD1175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выплатам стимулирующего характера относятся:</w:t>
      </w:r>
    </w:p>
    <w:p w:rsidR="003A29A7" w:rsidRPr="00654B90" w:rsidRDefault="00A17663" w:rsidP="00FD1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4B90">
        <w:rPr>
          <w:rFonts w:ascii="Times New Roman" w:hAnsi="Times New Roman" w:cs="Times New Roman"/>
        </w:rPr>
        <w:t>1)</w:t>
      </w:r>
      <w:r w:rsidR="003A29A7" w:rsidRPr="00654B90">
        <w:rPr>
          <w:rFonts w:ascii="Times New Roman" w:hAnsi="Times New Roman" w:cs="Times New Roman"/>
        </w:rPr>
        <w:t>премия по итогам работы за календарный месяц;</w:t>
      </w:r>
    </w:p>
    <w:p w:rsidR="003A29A7" w:rsidRPr="00654B90" w:rsidRDefault="00A17663" w:rsidP="00FD1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4B90">
        <w:rPr>
          <w:rFonts w:ascii="Times New Roman" w:hAnsi="Times New Roman" w:cs="Times New Roman"/>
        </w:rPr>
        <w:t>2)</w:t>
      </w:r>
      <w:r w:rsidR="003A29A7" w:rsidRPr="00654B90">
        <w:rPr>
          <w:rFonts w:ascii="Times New Roman" w:hAnsi="Times New Roman" w:cs="Times New Roman"/>
        </w:rPr>
        <w:t xml:space="preserve">премия по итогам работы за </w:t>
      </w:r>
      <w:r w:rsidR="00C25741" w:rsidRPr="00654B90">
        <w:rPr>
          <w:rFonts w:ascii="Times New Roman" w:hAnsi="Times New Roman" w:cs="Times New Roman"/>
        </w:rPr>
        <w:t>полугодие, год</w:t>
      </w:r>
      <w:r w:rsidR="003A29A7" w:rsidRPr="00654B90">
        <w:rPr>
          <w:rFonts w:ascii="Times New Roman" w:hAnsi="Times New Roman" w:cs="Times New Roman"/>
        </w:rPr>
        <w:t>;</w:t>
      </w:r>
    </w:p>
    <w:p w:rsidR="003A29A7" w:rsidRPr="00654B90" w:rsidRDefault="00A17663" w:rsidP="00FD1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4B90">
        <w:rPr>
          <w:rFonts w:ascii="Times New Roman" w:hAnsi="Times New Roman" w:cs="Times New Roman"/>
        </w:rPr>
        <w:t>3)</w:t>
      </w:r>
      <w:r w:rsidR="003A29A7" w:rsidRPr="00654B90">
        <w:rPr>
          <w:rFonts w:ascii="Times New Roman" w:hAnsi="Times New Roman" w:cs="Times New Roman"/>
        </w:rPr>
        <w:t>единовременная премия в связи с особо значимыми событиями.</w:t>
      </w:r>
    </w:p>
    <w:p w:rsidR="003A29A7" w:rsidRPr="00654B90" w:rsidRDefault="003A29A7" w:rsidP="00D14CA0">
      <w:pPr>
        <w:pStyle w:val="ac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премий руководителю Учреждения по итогам работы</w:t>
      </w:r>
      <w:r w:rsidR="003A29A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месяц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исходя из годового размера, указанного в таблице 2 приложени</w:t>
      </w:r>
      <w:r w:rsidR="00A1766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1, таблице 2 приложения 2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Положению, без учета начислений страховых взносов в государственные внебюджетные фонды и с учетом районного коэффициента к заработной плате, процентной надбавки к заработной плате за стаж работы в районах Крайнего Севера и приравненных к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выплачиваемой руководителю Учреждения премии по итогам работы за </w:t>
      </w:r>
      <w:r w:rsidR="003A29A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месяц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выплачиваемой руководителю учрежд</w:t>
      </w:r>
      <w:r w:rsidR="003A29A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премии по итогам работы за календарный месяц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размера, установленного для соответствующего периода времени таблицей 3 приложений</w:t>
      </w:r>
      <w:r w:rsidR="00C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54A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таблицей 3 приложения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Положению.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деятельности, формируемой Администрацией Александровского района Томской области, с составлением соответствующего заключения, подписываемого членами комиссии.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 критерии оценки эффективности деятельности, условия премирования и </w:t>
      </w:r>
      <w:proofErr w:type="spell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депремирования</w:t>
      </w:r>
      <w:proofErr w:type="spell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Учреждений; полномочия комиссии по оценке выполнения показателей и критериев оценки эффективности деятельности; формы, сроки и порядок представления Учреждениями отчетности о выполнении указанных показателей и критериев оценки эффективности деятельности определяются постановлением Администрации Александровского района Томской области.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Учреждения имеет право присутствовать на заседаниях комиссии, указанной в пункте 1</w:t>
      </w:r>
      <w:r w:rsidR="0007237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давать необходимые пояснения.</w:t>
      </w:r>
    </w:p>
    <w:p w:rsidR="0072434E" w:rsidRPr="00654B90" w:rsidRDefault="001C0A62" w:rsidP="00661FE5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заключения, указанного в пункте 1</w:t>
      </w:r>
      <w:r w:rsidR="0007237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72434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</w:t>
      </w:r>
      <w:r w:rsidR="0072434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выплате руководителю 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премии по итогам работы</w:t>
      </w:r>
      <w:r w:rsidR="0072434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месяц. </w:t>
      </w:r>
    </w:p>
    <w:p w:rsidR="001C0A62" w:rsidRPr="00654B90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2434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1</w:t>
      </w:r>
      <w:r w:rsidR="0007237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Положения, издается приказ 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о выплате руководителю учреждения премии по итогам работы</w:t>
      </w:r>
      <w:r w:rsidR="0072434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месяц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A62" w:rsidRPr="00654B90" w:rsidRDefault="001C0A62" w:rsidP="00A5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средства годового премиального фонда руководителя учреждения, указанного в таблице 2 приложени</w:t>
      </w:r>
      <w:r w:rsidR="00A1766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1, таблице 2 приложения 2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Положению, предусмотренные для отдельного периода для начисления премии по итогам работы таблицей 3 указанных приложений к настоящему Положению, направл</w:t>
      </w:r>
      <w:r w:rsidR="00450470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выплаты стимулирующего характера работникам учреждения, за исключением заместителей руко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и главного бухгалтера 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  <w:proofErr w:type="gramEnd"/>
    </w:p>
    <w:p w:rsidR="00661FE5" w:rsidRPr="00654B90" w:rsidRDefault="00661FE5" w:rsidP="00CB16E8">
      <w:pPr>
        <w:pStyle w:val="ac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D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</w:t>
      </w:r>
      <w:r w:rsidR="0045047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D53D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премия</w:t>
      </w:r>
      <w:r w:rsidR="00CD53D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полугодие, год.</w:t>
      </w:r>
    </w:p>
    <w:p w:rsidR="00A5269B" w:rsidRPr="00654B90" w:rsidRDefault="00CD53D1" w:rsidP="00FD1175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hAnsi="Times New Roman" w:cs="Times New Roman"/>
        </w:rPr>
        <w:t xml:space="preserve">Премирование руководителя Учреждения по итогам работы за </w:t>
      </w:r>
      <w:r w:rsidR="00C25741" w:rsidRPr="00654B90">
        <w:rPr>
          <w:rFonts w:ascii="Times New Roman" w:hAnsi="Times New Roman" w:cs="Times New Roman"/>
        </w:rPr>
        <w:t xml:space="preserve">полугоде, год </w:t>
      </w:r>
      <w:r w:rsidRPr="00654B90">
        <w:rPr>
          <w:rFonts w:ascii="Times New Roman" w:hAnsi="Times New Roman" w:cs="Times New Roman"/>
        </w:rPr>
        <w:t>осуществляется при наличии экономии фонда оплаты труда</w:t>
      </w:r>
      <w:r w:rsidR="00A16162">
        <w:rPr>
          <w:rFonts w:ascii="Times New Roman" w:hAnsi="Times New Roman" w:cs="Times New Roman"/>
        </w:rPr>
        <w:t xml:space="preserve"> работников</w:t>
      </w:r>
      <w:r w:rsidR="00C25741" w:rsidRPr="00654B90">
        <w:rPr>
          <w:rFonts w:ascii="Times New Roman" w:hAnsi="Times New Roman" w:cs="Times New Roman"/>
        </w:rPr>
        <w:t xml:space="preserve"> </w:t>
      </w:r>
      <w:r w:rsidR="00A16162">
        <w:rPr>
          <w:rFonts w:ascii="Times New Roman" w:hAnsi="Times New Roman" w:cs="Times New Roman"/>
        </w:rPr>
        <w:t>У</w:t>
      </w:r>
      <w:r w:rsidR="00C25741" w:rsidRPr="00654B90">
        <w:rPr>
          <w:rFonts w:ascii="Times New Roman" w:hAnsi="Times New Roman" w:cs="Times New Roman"/>
        </w:rPr>
        <w:t>чреждения</w:t>
      </w:r>
      <w:r w:rsidRPr="00654B90">
        <w:rPr>
          <w:rFonts w:ascii="Times New Roman" w:hAnsi="Times New Roman" w:cs="Times New Roman"/>
        </w:rPr>
        <w:t>, образующегося по состоянию на дату окончания данного периода, в зависимости от личного вклада руководителя в конечные результаты деятельности и не может превышать размера двух должностных окладов руководителя в календарный год</w:t>
      </w:r>
      <w:r w:rsidR="00BD450F" w:rsidRPr="00654B90">
        <w:rPr>
          <w:rFonts w:ascii="Times New Roman" w:hAnsi="Times New Roman" w:cs="Times New Roman"/>
        </w:rPr>
        <w:t xml:space="preserve"> с </w:t>
      </w:r>
      <w:r w:rsidR="00A5269B" w:rsidRPr="00654B90">
        <w:rPr>
          <w:rFonts w:ascii="Times New Roman" w:hAnsi="Times New Roman" w:cs="Times New Roman"/>
        </w:rPr>
        <w:t>учетом</w:t>
      </w:r>
      <w:r w:rsidR="00BD450F" w:rsidRPr="00654B90">
        <w:rPr>
          <w:rFonts w:ascii="Times New Roman" w:hAnsi="Times New Roman" w:cs="Times New Roman"/>
        </w:rPr>
        <w:t xml:space="preserve"> 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процентн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заработной плате за</w:t>
      </w:r>
      <w:proofErr w:type="gramEnd"/>
      <w:r w:rsidR="00B555BE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работы в районах Крайнего Севера и приравненных к ним местностях.</w:t>
      </w:r>
    </w:p>
    <w:p w:rsidR="00D770D9" w:rsidRPr="00654B90" w:rsidRDefault="00D770D9" w:rsidP="00FD1175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hAnsi="Times New Roman" w:cs="Times New Roman"/>
        </w:rPr>
        <w:lastRenderedPageBreak/>
        <w:t xml:space="preserve">Премия по итогам работы за </w:t>
      </w:r>
      <w:r w:rsidR="00C25741" w:rsidRPr="00654B90">
        <w:rPr>
          <w:rFonts w:ascii="Times New Roman" w:hAnsi="Times New Roman" w:cs="Times New Roman"/>
        </w:rPr>
        <w:t>полугодие, год</w:t>
      </w:r>
      <w:r w:rsidRPr="00654B90">
        <w:rPr>
          <w:rFonts w:ascii="Times New Roman" w:hAnsi="Times New Roman" w:cs="Times New Roman"/>
        </w:rPr>
        <w:t xml:space="preserve"> выплачивается на основании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учредителя в отношении, </w:t>
      </w: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функции и полномочия учредителя.</w:t>
      </w:r>
    </w:p>
    <w:p w:rsidR="00CD53D1" w:rsidRPr="00654B90" w:rsidRDefault="00CD53D1" w:rsidP="0024620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4B90">
        <w:rPr>
          <w:rFonts w:ascii="Times New Roman" w:hAnsi="Times New Roman" w:cs="Times New Roman"/>
        </w:rPr>
        <w:t xml:space="preserve">Премирование по итогам работы за </w:t>
      </w:r>
      <w:r w:rsidR="00C25741" w:rsidRPr="00654B90">
        <w:rPr>
          <w:rFonts w:ascii="Times New Roman" w:hAnsi="Times New Roman" w:cs="Times New Roman"/>
        </w:rPr>
        <w:t xml:space="preserve">полугодие, год </w:t>
      </w:r>
      <w:r w:rsidRPr="00654B90">
        <w:rPr>
          <w:rFonts w:ascii="Times New Roman" w:hAnsi="Times New Roman" w:cs="Times New Roman"/>
        </w:rPr>
        <w:t xml:space="preserve"> руководителю Учреждения выплачивается одновременно с заработной платой и учитывается во всех случаях исчисления среднего заработка.</w:t>
      </w:r>
    </w:p>
    <w:p w:rsidR="004B0F33" w:rsidRPr="00654B90" w:rsidRDefault="004B0F33" w:rsidP="0024620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 Учреждений выплачивается единовременная премия в связи с особо значимыми событиями в следующих случаях:</w:t>
      </w:r>
    </w:p>
    <w:p w:rsidR="004B0F33" w:rsidRPr="00654B90" w:rsidRDefault="00B233E8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4B0F33" w:rsidRPr="00654B90" w:rsidRDefault="00B233E8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или профессиональными праздниками, знаменательными датами;</w:t>
      </w:r>
    </w:p>
    <w:p w:rsidR="004B0F33" w:rsidRPr="00654B90" w:rsidRDefault="00B233E8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B0F33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юбилейными датами их рождения (50,55,60 лет).</w:t>
      </w:r>
    </w:p>
    <w:p w:rsidR="004B0F33" w:rsidRPr="00654B90" w:rsidRDefault="004B0F33" w:rsidP="004B0F33">
      <w:pPr>
        <w:pStyle w:val="ac"/>
        <w:tabs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 выплачивается при наличии экономии по фонду оплаты труда руководителей и не может превышать должностного оклада руководителя в каждом указанном случае в календарный год.</w:t>
      </w:r>
    </w:p>
    <w:p w:rsidR="00A5269B" w:rsidRPr="00654B90" w:rsidRDefault="004B0F33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премия в связи с особо значимыми событиями выплачивается на основании 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учредителя</w:t>
      </w:r>
      <w:r w:rsidR="00707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A5269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функции и полномочия учредителя.</w:t>
      </w:r>
    </w:p>
    <w:p w:rsidR="005A6F3C" w:rsidRPr="00654B90" w:rsidRDefault="00D14CA0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руководителей и главным бухгалтерам учреждений выплачиваются:</w:t>
      </w:r>
    </w:p>
    <w:p w:rsidR="005A6F3C" w:rsidRPr="00654B90" w:rsidRDefault="00246209" w:rsidP="005A6F3C">
      <w:pPr>
        <w:pStyle w:val="ac"/>
        <w:tabs>
          <w:tab w:val="left" w:pos="851"/>
          <w:tab w:val="left" w:pos="993"/>
        </w:tabs>
        <w:spacing w:after="0" w:line="240" w:lineRule="atLeast"/>
        <w:ind w:lef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премия по итогам работы за календарный месяц; </w:t>
      </w:r>
    </w:p>
    <w:p w:rsidR="005A6F3C" w:rsidRPr="00654B90" w:rsidRDefault="00246209" w:rsidP="005A6F3C">
      <w:pPr>
        <w:pStyle w:val="ac"/>
        <w:tabs>
          <w:tab w:val="left" w:pos="851"/>
          <w:tab w:val="left" w:pos="993"/>
        </w:tabs>
        <w:spacing w:after="0" w:line="240" w:lineRule="atLeast"/>
        <w:ind w:lef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за выполнени</w:t>
      </w:r>
      <w:r w:rsidR="005A6F3C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особо важных и срочных работ;</w:t>
      </w:r>
    </w:p>
    <w:p w:rsidR="00D14CA0" w:rsidRPr="00654B90" w:rsidRDefault="00246209" w:rsidP="005A6F3C">
      <w:pPr>
        <w:pStyle w:val="ac"/>
        <w:tabs>
          <w:tab w:val="left" w:pos="851"/>
          <w:tab w:val="left" w:pos="993"/>
        </w:tabs>
        <w:spacing w:after="0" w:line="240" w:lineRule="atLeast"/>
        <w:ind w:lef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событиями.</w:t>
      </w:r>
    </w:p>
    <w:p w:rsidR="00D50D8D" w:rsidRPr="00654B90" w:rsidRDefault="00D14CA0" w:rsidP="00D50D8D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премий</w:t>
      </w:r>
      <w:r w:rsidR="00D50D8D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24 настоящего Положения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выплаченных Учреждением заместителю руководителя, главному бухгалтеру Учреждения в течение </w:t>
      </w:r>
      <w:r w:rsidR="00D50D8D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может превышать </w:t>
      </w:r>
      <w:r w:rsidR="00D50D8D" w:rsidRPr="00654B90">
        <w:rPr>
          <w:rFonts w:ascii="Times New Roman" w:hAnsi="Times New Roman" w:cs="Times New Roman"/>
        </w:rPr>
        <w:t>размера, указанного в таблиц</w:t>
      </w:r>
      <w:r w:rsidR="00E151D4" w:rsidRPr="00654B90">
        <w:rPr>
          <w:rFonts w:ascii="Times New Roman" w:hAnsi="Times New Roman" w:cs="Times New Roman"/>
        </w:rPr>
        <w:t>е</w:t>
      </w:r>
      <w:r w:rsidR="00D50D8D" w:rsidRPr="00654B90">
        <w:rPr>
          <w:rFonts w:ascii="Times New Roman" w:hAnsi="Times New Roman" w:cs="Times New Roman"/>
        </w:rPr>
        <w:t xml:space="preserve"> 4 </w:t>
      </w:r>
      <w:r w:rsidR="00E151D4" w:rsidRPr="00654B90">
        <w:rPr>
          <w:rFonts w:ascii="Times New Roman" w:hAnsi="Times New Roman" w:cs="Times New Roman"/>
        </w:rPr>
        <w:t>приложения</w:t>
      </w:r>
      <w:r w:rsidR="00246209" w:rsidRPr="00654B90">
        <w:rPr>
          <w:rFonts w:ascii="Times New Roman" w:hAnsi="Times New Roman" w:cs="Times New Roman"/>
        </w:rPr>
        <w:t xml:space="preserve"> 1, таблице 4 приложения 2</w:t>
      </w:r>
      <w:r w:rsidR="00E151D4" w:rsidRPr="00654B90">
        <w:rPr>
          <w:rFonts w:ascii="Times New Roman" w:hAnsi="Times New Roman" w:cs="Times New Roman"/>
        </w:rPr>
        <w:t xml:space="preserve"> </w:t>
      </w:r>
      <w:r w:rsidR="00D50D8D" w:rsidRPr="00654B90">
        <w:rPr>
          <w:rFonts w:ascii="Times New Roman" w:hAnsi="Times New Roman" w:cs="Times New Roman"/>
        </w:rPr>
        <w:t>к настоящему Положению.</w:t>
      </w:r>
    </w:p>
    <w:p w:rsidR="00D14CA0" w:rsidRPr="00654B90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D14CA0" w:rsidRPr="00654B90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D14CA0" w:rsidRPr="00654B90" w:rsidRDefault="00D14CA0" w:rsidP="00EC1645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ежемесячной премии по итогам работы за календарный месяц должны устанавливаться </w:t>
      </w:r>
      <w:r w:rsidR="00EC164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установленной нормы часов и показателей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оценки эффективности деятельности</w:t>
      </w:r>
      <w:proofErr w:type="gramStart"/>
      <w:r w:rsidR="00EC164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4CA0" w:rsidRPr="00654B90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размера.</w:t>
      </w:r>
    </w:p>
    <w:p w:rsidR="00D14CA0" w:rsidRPr="00654B90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основания:</w:t>
      </w:r>
    </w:p>
    <w:p w:rsidR="00D14CA0" w:rsidRPr="00654B90" w:rsidRDefault="00246209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важности выполненной работы;</w:t>
      </w:r>
    </w:p>
    <w:p w:rsidR="00D14CA0" w:rsidRPr="00654B90" w:rsidRDefault="00246209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 выполненной работы;</w:t>
      </w:r>
    </w:p>
    <w:p w:rsidR="00D14CA0" w:rsidRPr="00654B90" w:rsidRDefault="00246209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выполнения работы;</w:t>
      </w:r>
    </w:p>
    <w:p w:rsidR="00D14CA0" w:rsidRPr="00654B90" w:rsidRDefault="00246209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труда при выполнении работы.</w:t>
      </w:r>
    </w:p>
    <w:p w:rsidR="00D14CA0" w:rsidRPr="00654B90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и/или работника.</w:t>
      </w:r>
    </w:p>
    <w:p w:rsidR="00D14CA0" w:rsidRPr="00654B90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D14CA0" w:rsidRPr="00654B90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246209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D14CA0" w:rsidRPr="00654B90" w:rsidRDefault="00246209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D14CA0" w:rsidRPr="00654B90" w:rsidRDefault="00246209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или профессиональными праздниками, знаменательными датами;</w:t>
      </w:r>
    </w:p>
    <w:p w:rsidR="00D14CA0" w:rsidRPr="00654B90" w:rsidRDefault="00246209" w:rsidP="00B233E8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14CA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юбилейными датами их рождения (50, 55,60 лет).</w:t>
      </w:r>
    </w:p>
    <w:p w:rsidR="00D14CA0" w:rsidRPr="00654B90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 выплачивается при наличии экономии по фонду оплаты труда и не может превышать размера должностн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рук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оводителя, главного бухгалтера 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каждом указанном случае,</w:t>
      </w:r>
    </w:p>
    <w:p w:rsidR="005A6F3C" w:rsidRPr="00654B90" w:rsidRDefault="005A6F3C" w:rsidP="005A6F3C">
      <w:pPr>
        <w:pStyle w:val="ac"/>
        <w:numPr>
          <w:ilvl w:val="0"/>
          <w:numId w:val="20"/>
        </w:numPr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5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151D4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премий указанных в пункте 24 настоящего положения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</w:t>
      </w:r>
      <w:r w:rsidR="0045047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премия по итогам работы  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полугодие, год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F3C" w:rsidRPr="00654B90" w:rsidRDefault="005A6F3C" w:rsidP="005A6F3C">
      <w:pPr>
        <w:pStyle w:val="ac"/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 руководител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Учреждения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полугодие, год устанавливается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экономии фонда оплаты труда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образующегося по состоянию на дату окончания данного периода, в зависимости от личного вклада заместител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конечные результаты деятельности и не может превышать размера двух должностных окладов 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и главного бухгалтера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календарный год</w:t>
      </w:r>
      <w:proofErr w:type="gramEnd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начисления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5A6F3C" w:rsidRPr="00654B90" w:rsidRDefault="00207A7B" w:rsidP="005A6F3C">
      <w:pPr>
        <w:pStyle w:val="ac"/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выплаты премии по итогам работы за 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полугодие, год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5A6F3C" w:rsidRPr="00654B90" w:rsidRDefault="005A6F3C" w:rsidP="005A6F3C">
      <w:pPr>
        <w:pStyle w:val="ac"/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F566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емия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за </w:t>
      </w:r>
      <w:r w:rsidR="00C25741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полугодие, год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A7B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руководителей и главным бухгалтерам учреждений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одновременно с заработной платой и учитывается во всех случаях исчисления среднего заработка.</w:t>
      </w:r>
    </w:p>
    <w:p w:rsidR="004F5667" w:rsidRPr="00654B90" w:rsidRDefault="004F5667" w:rsidP="004F5667">
      <w:pPr>
        <w:pStyle w:val="ac"/>
        <w:tabs>
          <w:tab w:val="left" w:pos="567"/>
          <w:tab w:val="left" w:pos="709"/>
          <w:tab w:val="left" w:pos="851"/>
        </w:tabs>
        <w:spacing w:after="0" w:line="240" w:lineRule="atLeast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87" w:rsidRPr="00654B90" w:rsidRDefault="004F5667" w:rsidP="004F5667">
      <w:pPr>
        <w:pStyle w:val="ac"/>
        <w:tabs>
          <w:tab w:val="left" w:pos="567"/>
          <w:tab w:val="left" w:pos="709"/>
          <w:tab w:val="left" w:pos="851"/>
        </w:tabs>
        <w:spacing w:after="0" w:line="240" w:lineRule="atLeast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помощь.</w:t>
      </w:r>
    </w:p>
    <w:p w:rsidR="004F5667" w:rsidRPr="00654B90" w:rsidRDefault="004F5667" w:rsidP="004F5667">
      <w:pPr>
        <w:pStyle w:val="ac"/>
        <w:tabs>
          <w:tab w:val="left" w:pos="567"/>
          <w:tab w:val="left" w:pos="709"/>
          <w:tab w:val="left" w:pos="851"/>
        </w:tabs>
        <w:spacing w:after="0" w:line="240" w:lineRule="atLeast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87" w:rsidRPr="00654B90" w:rsidRDefault="008C1C87" w:rsidP="004F5667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фонда оплаты труда работников Учреждений руководителю учреждения, его заместителям и главному бухгалтеру по их письменному заявлению может оказываться материальная помощь,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8C1C87" w:rsidRPr="00654B90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основания оказания материальной помощи указанным работникам, а также ее допустимые размеры применительно к отдельным основаниям ее оказания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8C1C87" w:rsidRPr="00654B90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оказании материальной помощи и ее конкретных размерах принимает:</w:t>
      </w:r>
    </w:p>
    <w:p w:rsidR="008C1C87" w:rsidRPr="00654B90" w:rsidRDefault="004F566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руководителя учреждения – </w:t>
      </w:r>
      <w:r w:rsidR="00F608BF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в отношении, которых осуществляются функции и полномочия учредителя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C87" w:rsidRPr="00654B90" w:rsidRDefault="004F566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C1C87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заместителя руководителя и главного бухгалтера Учреждения - руководитель учреждения.</w:t>
      </w:r>
    </w:p>
    <w:p w:rsidR="008C1C87" w:rsidRPr="00654B90" w:rsidRDefault="008C1C87" w:rsidP="00072379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BD7A2B" w:rsidRPr="00654B90" w:rsidRDefault="00BD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6D6" w:rsidRPr="009721ED" w:rsidRDefault="002A16D6" w:rsidP="002A16D6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A16D6" w:rsidRPr="009721ED" w:rsidRDefault="002A16D6" w:rsidP="002A16D6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2A16D6" w:rsidRPr="009721ED" w:rsidRDefault="002A16D6" w:rsidP="002A16D6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6D6" w:rsidRPr="009721ED" w:rsidRDefault="002A16D6" w:rsidP="002A16D6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Pr="009721ED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2A16D6" w:rsidRPr="009721ED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2A16D6" w:rsidRPr="009721ED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Pr="009721ED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</w:t>
            </w:r>
          </w:p>
        </w:tc>
      </w:tr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16207</w:t>
            </w:r>
          </w:p>
        </w:tc>
      </w:tr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14202</w:t>
            </w:r>
          </w:p>
        </w:tc>
      </w:tr>
      <w:tr w:rsidR="002A16D6" w:rsidRPr="009721ED" w:rsidTr="0066678A">
        <w:tc>
          <w:tcPr>
            <w:tcW w:w="4622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12195</w:t>
            </w:r>
          </w:p>
        </w:tc>
      </w:tr>
    </w:tbl>
    <w:p w:rsidR="002A16D6" w:rsidRPr="009721ED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Pr="009721ED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2A16D6" w:rsidRPr="009721ED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2A16D6" w:rsidRPr="009721ED" w:rsidTr="0066678A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общеобразовательного учреждения «Основная общеобразовательная школа п. </w:t>
            </w:r>
            <w:proofErr w:type="gramStart"/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235,5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</w:tbl>
    <w:p w:rsidR="002A16D6" w:rsidRPr="009721ED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2A16D6" w:rsidRPr="00654B90" w:rsidTr="0066678A">
        <w:tc>
          <w:tcPr>
            <w:tcW w:w="4478" w:type="dxa"/>
            <w:vAlign w:val="center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</w:tbl>
    <w:p w:rsidR="002A16D6" w:rsidRPr="009721ED" w:rsidRDefault="002A16D6" w:rsidP="002A16D6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6D6" w:rsidRPr="009721ED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заместителя руководителя и главного бухгалтера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2A16D6" w:rsidRPr="009721ED" w:rsidTr="0066678A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A16D6" w:rsidRPr="009721ED" w:rsidTr="0066678A">
        <w:tc>
          <w:tcPr>
            <w:tcW w:w="889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2A16D6" w:rsidRPr="009721ED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9721ED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2A16D6" w:rsidRPr="009721ED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6D6" w:rsidRDefault="002A16D6" w:rsidP="002A16D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A16D6" w:rsidRPr="009721ED" w:rsidRDefault="002A16D6" w:rsidP="002A16D6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2A16D6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системе оплаты труда руководителей, </w:t>
      </w:r>
    </w:p>
    <w:p w:rsidR="002A16D6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заместителей и главных бухгалтеров муниципальных </w:t>
      </w:r>
    </w:p>
    <w:p w:rsidR="002A16D6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автономных, казенных и бюджетных учреждений района</w:t>
      </w:r>
    </w:p>
    <w:p w:rsidR="002A16D6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6D6" w:rsidRPr="00654B90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2A16D6" w:rsidRPr="00654B90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2A16D6" w:rsidRPr="00654B90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2A16D6" w:rsidRPr="00E967BC" w:rsidTr="0066678A">
        <w:tc>
          <w:tcPr>
            <w:tcW w:w="7508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2A16D6" w:rsidRPr="00E967BC" w:rsidTr="0066678A">
        <w:tc>
          <w:tcPr>
            <w:tcW w:w="7508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70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2A16D6" w:rsidRPr="00E967BC" w:rsidTr="0066678A">
        <w:tc>
          <w:tcPr>
            <w:tcW w:w="7508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70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2A16D6" w:rsidRPr="00E967BC" w:rsidTr="0066678A">
        <w:tc>
          <w:tcPr>
            <w:tcW w:w="7508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70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2A16D6" w:rsidRPr="00E967BC" w:rsidTr="0066678A">
        <w:tc>
          <w:tcPr>
            <w:tcW w:w="7508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70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2A16D6" w:rsidRPr="00E967BC" w:rsidTr="0066678A">
        <w:tc>
          <w:tcPr>
            <w:tcW w:w="7508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</w:tbl>
    <w:p w:rsidR="002A16D6" w:rsidRPr="00654B90" w:rsidRDefault="002A16D6" w:rsidP="002A16D6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  <w:r w:rsidR="003E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2A16D6" w:rsidRPr="00E967BC" w:rsidTr="0066678A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2A16D6" w:rsidRPr="00E967BC" w:rsidTr="0066678A">
        <w:tc>
          <w:tcPr>
            <w:tcW w:w="5316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212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2A16D6" w:rsidRPr="00E967BC" w:rsidTr="0066678A">
        <w:tc>
          <w:tcPr>
            <w:tcW w:w="5316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2A16D6" w:rsidRPr="00E967BC" w:rsidTr="0066678A">
        <w:tc>
          <w:tcPr>
            <w:tcW w:w="5316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2A16D6" w:rsidRPr="00E967BC" w:rsidTr="0066678A">
        <w:tc>
          <w:tcPr>
            <w:tcW w:w="5316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212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D6" w:rsidRPr="00E967BC" w:rsidTr="0066678A">
        <w:tc>
          <w:tcPr>
            <w:tcW w:w="5316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126" w:type="dxa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6D6" w:rsidRPr="00654B90" w:rsidRDefault="002A16D6" w:rsidP="002A16D6">
      <w:pPr>
        <w:spacing w:after="0" w:line="240" w:lineRule="atLeast"/>
        <w:ind w:right="-5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6D6" w:rsidRPr="00654B90" w:rsidRDefault="002A16D6" w:rsidP="002A16D6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2A16D6" w:rsidRPr="00654B90" w:rsidTr="0066678A">
        <w:trPr>
          <w:tblHeader/>
        </w:trPr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A16D6" w:rsidRPr="00654B90" w:rsidTr="0066678A">
        <w:tc>
          <w:tcPr>
            <w:tcW w:w="4478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2A16D6" w:rsidRPr="00654B90" w:rsidRDefault="002A16D6" w:rsidP="0066678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2A16D6" w:rsidRPr="00654B90" w:rsidRDefault="002A16D6" w:rsidP="002A16D6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заместителя руководителя и главного бухгалтера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2A16D6" w:rsidRPr="00E967BC" w:rsidTr="0066678A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2A16D6" w:rsidRPr="00E967BC" w:rsidTr="0066678A">
        <w:tc>
          <w:tcPr>
            <w:tcW w:w="889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2A16D6" w:rsidRPr="00E967BC" w:rsidRDefault="002A16D6" w:rsidP="006667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A16D6" w:rsidRPr="00E967BC" w:rsidRDefault="002A16D6" w:rsidP="0066678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</w:tbl>
    <w:p w:rsidR="002A16D6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20" w:rsidRDefault="007A6A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A20" w:rsidRPr="009721ED" w:rsidRDefault="007A6A20" w:rsidP="007A6A20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7A6A20" w:rsidRPr="009721ED" w:rsidRDefault="007A6A20" w:rsidP="007A6A20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7A6A20" w:rsidRPr="009721ED" w:rsidRDefault="007A6A20" w:rsidP="007A6A20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20" w:rsidRPr="009721ED" w:rsidRDefault="007A6A20" w:rsidP="007A6A20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20" w:rsidRPr="009721ED" w:rsidRDefault="007A6A20" w:rsidP="007A6A20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руководителя,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 и  главного бухгалтера</w:t>
      </w:r>
    </w:p>
    <w:p w:rsidR="007A6A20" w:rsidRPr="009721ED" w:rsidRDefault="007A6A20" w:rsidP="007A6A20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</w:p>
    <w:p w:rsidR="007A6A20" w:rsidRPr="009721ED" w:rsidRDefault="007A6A20" w:rsidP="007A6A20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20" w:rsidRPr="009721ED" w:rsidRDefault="007A6A20" w:rsidP="007A6A20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руководителя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7A6A20" w:rsidRPr="009721ED" w:rsidTr="00814FF3">
        <w:tc>
          <w:tcPr>
            <w:tcW w:w="4622" w:type="dxa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65" w:type="dxa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7A6A20" w:rsidRPr="009721ED" w:rsidTr="00814FF3">
        <w:tc>
          <w:tcPr>
            <w:tcW w:w="4622" w:type="dxa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4665" w:type="dxa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</w:t>
            </w:r>
          </w:p>
        </w:tc>
      </w:tr>
    </w:tbl>
    <w:p w:rsidR="007A6A20" w:rsidRPr="009721ED" w:rsidRDefault="007A6A20" w:rsidP="007A6A20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20" w:rsidRPr="009721ED" w:rsidRDefault="007A6A20" w:rsidP="007A6A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премиальный фонд руководителя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7A6A20" w:rsidRPr="009721ED" w:rsidRDefault="007A6A20" w:rsidP="007A6A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7A6A20" w:rsidRPr="009721ED" w:rsidTr="00814FF3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7A6A20" w:rsidRPr="009721ED" w:rsidTr="00814FF3">
        <w:tc>
          <w:tcPr>
            <w:tcW w:w="889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7A6A20" w:rsidRPr="009721ED" w:rsidRDefault="007A6A20" w:rsidP="00814FF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314,16</w:t>
            </w:r>
          </w:p>
        </w:tc>
      </w:tr>
    </w:tbl>
    <w:p w:rsidR="007A6A20" w:rsidRPr="009721ED" w:rsidRDefault="007A6A20" w:rsidP="007A6A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20" w:rsidRDefault="007A6A20" w:rsidP="007A6A20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7A6A20" w:rsidRPr="00654B90" w:rsidTr="00814FF3">
        <w:tc>
          <w:tcPr>
            <w:tcW w:w="4478" w:type="dxa"/>
            <w:vAlign w:val="center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7A6A20" w:rsidRDefault="007A6A20" w:rsidP="00814FF3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7A6A20" w:rsidRPr="00654B90" w:rsidTr="00814FF3">
        <w:tc>
          <w:tcPr>
            <w:tcW w:w="4478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7A6A20" w:rsidRPr="00654B90" w:rsidRDefault="007A6A20" w:rsidP="00814FF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7A6A20" w:rsidRPr="009721ED" w:rsidRDefault="007A6A20" w:rsidP="007A6A20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A20" w:rsidRPr="009721ED" w:rsidRDefault="007A6A20" w:rsidP="007A6A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4.Годовой премиальный фонд главного бухгалтера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7A6A20" w:rsidRPr="009721ED" w:rsidTr="00814FF3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7A6A20" w:rsidRPr="009721ED" w:rsidTr="00814FF3">
        <w:tc>
          <w:tcPr>
            <w:tcW w:w="889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7A6A20" w:rsidRPr="009721ED" w:rsidRDefault="007A6A20" w:rsidP="00814FF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A6A20" w:rsidRPr="009721ED" w:rsidRDefault="007A6A20" w:rsidP="00814FF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219,91</w:t>
            </w:r>
          </w:p>
        </w:tc>
      </w:tr>
    </w:tbl>
    <w:p w:rsidR="007A6A20" w:rsidRPr="009721ED" w:rsidRDefault="007A6A20" w:rsidP="007A6A20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20" w:rsidRDefault="007A6A20" w:rsidP="007A6A20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6D6" w:rsidRPr="00654B90" w:rsidRDefault="002A16D6" w:rsidP="002A1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16D6" w:rsidRPr="00654B90" w:rsidRDefault="002A16D6" w:rsidP="002A16D6">
      <w:pPr>
        <w:tabs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D6" w:rsidRDefault="002A16D6" w:rsidP="002A16D6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CA0" w:rsidRPr="00654B90" w:rsidRDefault="00D14CA0" w:rsidP="002A16D6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4CA0" w:rsidRPr="00654B90" w:rsidSect="00E16153">
      <w:headerReference w:type="default" r:id="rId11"/>
      <w:footerReference w:type="default" r:id="rId12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DD" w:rsidRDefault="00D123DD" w:rsidP="00F554A3">
      <w:pPr>
        <w:spacing w:after="0" w:line="240" w:lineRule="auto"/>
      </w:pPr>
      <w:r>
        <w:separator/>
      </w:r>
    </w:p>
  </w:endnote>
  <w:endnote w:type="continuationSeparator" w:id="0">
    <w:p w:rsidR="00D123DD" w:rsidRDefault="00D123DD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DD" w:rsidRDefault="00D123DD" w:rsidP="00F554A3">
      <w:pPr>
        <w:spacing w:after="0" w:line="240" w:lineRule="auto"/>
      </w:pPr>
      <w:r>
        <w:separator/>
      </w:r>
    </w:p>
  </w:footnote>
  <w:footnote w:type="continuationSeparator" w:id="0">
    <w:p w:rsidR="00D123DD" w:rsidRDefault="00D123DD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8647"/>
      <w:docPartObj>
        <w:docPartGallery w:val="Page Numbers (Top of Page)"/>
        <w:docPartUnique/>
      </w:docPartObj>
    </w:sdtPr>
    <w:sdtEndPr/>
    <w:sdtContent>
      <w:p w:rsidR="009A1F9D" w:rsidRDefault="001219C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0F68"/>
    <w:rsid w:val="000061AA"/>
    <w:rsid w:val="00012A57"/>
    <w:rsid w:val="000355F8"/>
    <w:rsid w:val="00047E69"/>
    <w:rsid w:val="00072379"/>
    <w:rsid w:val="000878B4"/>
    <w:rsid w:val="000A345B"/>
    <w:rsid w:val="000C074D"/>
    <w:rsid w:val="000D3CB9"/>
    <w:rsid w:val="000F771A"/>
    <w:rsid w:val="00105DB9"/>
    <w:rsid w:val="001219CF"/>
    <w:rsid w:val="0014232E"/>
    <w:rsid w:val="001654A4"/>
    <w:rsid w:val="00170A6E"/>
    <w:rsid w:val="001C0A62"/>
    <w:rsid w:val="001D58C4"/>
    <w:rsid w:val="001F60AA"/>
    <w:rsid w:val="001F6837"/>
    <w:rsid w:val="00207A7B"/>
    <w:rsid w:val="00212297"/>
    <w:rsid w:val="00230D12"/>
    <w:rsid w:val="00246209"/>
    <w:rsid w:val="00256E63"/>
    <w:rsid w:val="00265DDB"/>
    <w:rsid w:val="00294890"/>
    <w:rsid w:val="002A16D6"/>
    <w:rsid w:val="002B13D3"/>
    <w:rsid w:val="002C6D70"/>
    <w:rsid w:val="002E310E"/>
    <w:rsid w:val="003422F5"/>
    <w:rsid w:val="00354A65"/>
    <w:rsid w:val="003661EC"/>
    <w:rsid w:val="003908A7"/>
    <w:rsid w:val="003A29A7"/>
    <w:rsid w:val="003B5507"/>
    <w:rsid w:val="003E691E"/>
    <w:rsid w:val="0040325F"/>
    <w:rsid w:val="0043271C"/>
    <w:rsid w:val="00450470"/>
    <w:rsid w:val="004B0F33"/>
    <w:rsid w:val="004C2EE2"/>
    <w:rsid w:val="004C53AA"/>
    <w:rsid w:val="004D2015"/>
    <w:rsid w:val="004D794C"/>
    <w:rsid w:val="004F44CF"/>
    <w:rsid w:val="004F5667"/>
    <w:rsid w:val="00505FE0"/>
    <w:rsid w:val="00571585"/>
    <w:rsid w:val="005A6F3C"/>
    <w:rsid w:val="005B7F60"/>
    <w:rsid w:val="005F2F7E"/>
    <w:rsid w:val="00615C31"/>
    <w:rsid w:val="00625BE0"/>
    <w:rsid w:val="006320F3"/>
    <w:rsid w:val="00650E1A"/>
    <w:rsid w:val="00654B90"/>
    <w:rsid w:val="00657421"/>
    <w:rsid w:val="00661FE5"/>
    <w:rsid w:val="006621E9"/>
    <w:rsid w:val="00666944"/>
    <w:rsid w:val="0067242A"/>
    <w:rsid w:val="00676282"/>
    <w:rsid w:val="006B1EDF"/>
    <w:rsid w:val="006C4194"/>
    <w:rsid w:val="007078C8"/>
    <w:rsid w:val="0072434E"/>
    <w:rsid w:val="00794249"/>
    <w:rsid w:val="00797BC7"/>
    <w:rsid w:val="007A58A5"/>
    <w:rsid w:val="007A6A20"/>
    <w:rsid w:val="007F6671"/>
    <w:rsid w:val="0082241B"/>
    <w:rsid w:val="0082625C"/>
    <w:rsid w:val="00836AF3"/>
    <w:rsid w:val="0083703C"/>
    <w:rsid w:val="00865190"/>
    <w:rsid w:val="00870723"/>
    <w:rsid w:val="00871157"/>
    <w:rsid w:val="00873F0F"/>
    <w:rsid w:val="008A7B71"/>
    <w:rsid w:val="008C1C87"/>
    <w:rsid w:val="008F0744"/>
    <w:rsid w:val="009027F9"/>
    <w:rsid w:val="00930714"/>
    <w:rsid w:val="00940878"/>
    <w:rsid w:val="009A050E"/>
    <w:rsid w:val="009A1F9D"/>
    <w:rsid w:val="009A4524"/>
    <w:rsid w:val="009E39CA"/>
    <w:rsid w:val="00A03C8D"/>
    <w:rsid w:val="00A1113F"/>
    <w:rsid w:val="00A12422"/>
    <w:rsid w:val="00A16162"/>
    <w:rsid w:val="00A17663"/>
    <w:rsid w:val="00A37053"/>
    <w:rsid w:val="00A444E3"/>
    <w:rsid w:val="00A5269B"/>
    <w:rsid w:val="00A53318"/>
    <w:rsid w:val="00A67228"/>
    <w:rsid w:val="00A67FEE"/>
    <w:rsid w:val="00A86E6C"/>
    <w:rsid w:val="00A97C6C"/>
    <w:rsid w:val="00AA6FCA"/>
    <w:rsid w:val="00AB24A7"/>
    <w:rsid w:val="00AB4600"/>
    <w:rsid w:val="00AC70D2"/>
    <w:rsid w:val="00B231E1"/>
    <w:rsid w:val="00B233E8"/>
    <w:rsid w:val="00B54ACB"/>
    <w:rsid w:val="00B555BE"/>
    <w:rsid w:val="00B9208D"/>
    <w:rsid w:val="00B93173"/>
    <w:rsid w:val="00BA0AB8"/>
    <w:rsid w:val="00BA40BC"/>
    <w:rsid w:val="00BC7115"/>
    <w:rsid w:val="00BD450F"/>
    <w:rsid w:val="00BD7A2B"/>
    <w:rsid w:val="00C05F9A"/>
    <w:rsid w:val="00C129C8"/>
    <w:rsid w:val="00C25741"/>
    <w:rsid w:val="00C27984"/>
    <w:rsid w:val="00C55573"/>
    <w:rsid w:val="00C578EA"/>
    <w:rsid w:val="00C60BCF"/>
    <w:rsid w:val="00C65A1B"/>
    <w:rsid w:val="00CA44CF"/>
    <w:rsid w:val="00CB16E8"/>
    <w:rsid w:val="00CB6195"/>
    <w:rsid w:val="00CD53D1"/>
    <w:rsid w:val="00CF16DE"/>
    <w:rsid w:val="00D123DD"/>
    <w:rsid w:val="00D14CA0"/>
    <w:rsid w:val="00D45948"/>
    <w:rsid w:val="00D50D8D"/>
    <w:rsid w:val="00D57F47"/>
    <w:rsid w:val="00D6628A"/>
    <w:rsid w:val="00D770D9"/>
    <w:rsid w:val="00D93627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86797"/>
    <w:rsid w:val="00EA26FA"/>
    <w:rsid w:val="00EC1645"/>
    <w:rsid w:val="00EF5578"/>
    <w:rsid w:val="00EF6924"/>
    <w:rsid w:val="00F14A1E"/>
    <w:rsid w:val="00F21525"/>
    <w:rsid w:val="00F273CA"/>
    <w:rsid w:val="00F50DCE"/>
    <w:rsid w:val="00F554A3"/>
    <w:rsid w:val="00F608BF"/>
    <w:rsid w:val="00FA695F"/>
    <w:rsid w:val="00FC6D42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7910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s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Алёна Лу</cp:lastModifiedBy>
  <cp:revision>5</cp:revision>
  <cp:lastPrinted>2022-08-29T11:06:00Z</cp:lastPrinted>
  <dcterms:created xsi:type="dcterms:W3CDTF">2023-10-30T09:13:00Z</dcterms:created>
  <dcterms:modified xsi:type="dcterms:W3CDTF">2024-02-27T08:06:00Z</dcterms:modified>
</cp:coreProperties>
</file>