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F4" w:rsidRPr="00C768AD" w:rsidRDefault="00A318F4" w:rsidP="00A318F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768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F441B9" wp14:editId="4F8A33CB">
            <wp:extent cx="652145" cy="8147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F4" w:rsidRPr="00C768AD" w:rsidRDefault="00A318F4" w:rsidP="00A318F4">
      <w:pPr>
        <w:keepNext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68A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A318F4" w:rsidRPr="00C768AD" w:rsidRDefault="00A318F4" w:rsidP="00A318F4">
      <w:pPr>
        <w:keepNext/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68AD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A318F4" w:rsidRPr="00C768AD" w:rsidRDefault="00A318F4" w:rsidP="00A318F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8F4" w:rsidRPr="00C768AD" w:rsidRDefault="00A318F4" w:rsidP="00A318F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8A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89"/>
        <w:gridCol w:w="4883"/>
      </w:tblGrid>
      <w:tr w:rsidR="00A318F4" w:rsidRPr="00C768AD" w:rsidTr="00337619">
        <w:trPr>
          <w:trHeight w:val="148"/>
        </w:trPr>
        <w:tc>
          <w:tcPr>
            <w:tcW w:w="4189" w:type="dxa"/>
          </w:tcPr>
          <w:p w:rsidR="00A318F4" w:rsidRPr="00C768AD" w:rsidRDefault="00DE5E24" w:rsidP="00A318F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318F4" w:rsidRPr="00C7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3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318F4" w:rsidRPr="00C7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4883" w:type="dxa"/>
          </w:tcPr>
          <w:p w:rsidR="00A318F4" w:rsidRPr="00C768AD" w:rsidRDefault="00A318F4" w:rsidP="00337619">
            <w:pPr>
              <w:keepNext/>
              <w:spacing w:after="0" w:line="240" w:lineRule="auto"/>
              <w:ind w:right="-108" w:firstLine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E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A318F4" w:rsidRPr="00C768AD" w:rsidTr="00337619">
        <w:tc>
          <w:tcPr>
            <w:tcW w:w="9072" w:type="dxa"/>
            <w:gridSpan w:val="2"/>
          </w:tcPr>
          <w:p w:rsidR="00A318F4" w:rsidRPr="00C768AD" w:rsidRDefault="00A318F4" w:rsidP="0033761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A318F4" w:rsidRDefault="00A318F4" w:rsidP="00A318F4">
      <w:pPr>
        <w:widowControl w:val="0"/>
        <w:autoSpaceDE w:val="0"/>
        <w:autoSpaceDN w:val="0"/>
        <w:adjustRightInd w:val="0"/>
        <w:spacing w:after="0" w:line="240" w:lineRule="auto"/>
        <w:ind w:right="42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3E6B" w:rsidRDefault="00F73E6B" w:rsidP="006C3AED">
      <w:pPr>
        <w:tabs>
          <w:tab w:val="left" w:pos="4820"/>
          <w:tab w:val="left" w:pos="5103"/>
          <w:tab w:val="left" w:pos="5387"/>
        </w:tabs>
        <w:spacing w:before="100" w:beforeAutospacing="1" w:after="100" w:afterAutospacing="1" w:line="240" w:lineRule="auto"/>
        <w:ind w:right="3968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r w:rsidR="00255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«Александровский район»</w:t>
      </w:r>
    </w:p>
    <w:p w:rsidR="006C3AED" w:rsidRPr="00A318F4" w:rsidRDefault="006C3AED" w:rsidP="006C3AED">
      <w:pPr>
        <w:tabs>
          <w:tab w:val="left" w:pos="4820"/>
          <w:tab w:val="left" w:pos="5103"/>
          <w:tab w:val="left" w:pos="5387"/>
        </w:tabs>
        <w:spacing w:before="100" w:beforeAutospacing="1" w:after="100" w:afterAutospacing="1" w:line="240" w:lineRule="auto"/>
        <w:ind w:right="396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CB2" w:rsidRDefault="00F73E6B" w:rsidP="00255F2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174.3 Бюджетного кодекса Р</w:t>
      </w:r>
      <w:r w:rsidR="0025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55F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едерации,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E6B" w:rsidRPr="00083CB2" w:rsidRDefault="00F73E6B" w:rsidP="00255F2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</w:t>
      </w:r>
      <w:r w:rsidR="00255F2F" w:rsidRPr="0008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08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76C99" w:rsidRPr="006C3AED" w:rsidRDefault="00A76C99" w:rsidP="006C3AED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формирования перечня налоговых расходов муниципального образования «Александровский район» и оценки налоговых расходов муниципального образования «Александровский район»</w:t>
      </w:r>
      <w:r w:rsid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F73E6B" w:rsidRPr="006C3AED" w:rsidRDefault="00F73E6B" w:rsidP="006C3AED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1 января 20</w:t>
      </w:r>
      <w:r w:rsidR="00A76C99" w:rsidRP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F73E6B" w:rsidRPr="006C3AED" w:rsidRDefault="006C3AED" w:rsidP="006C3AED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3E6B" w:rsidRP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</w:t>
      </w:r>
      <w:r w:rsidRP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</w:t>
      </w:r>
      <w:r w:rsidR="00F73E6B" w:rsidRP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P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(http://als.tomskinvest.ru/)</w:t>
      </w:r>
      <w:r w:rsidR="00F73E6B" w:rsidRP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</w:t>
      </w:r>
      <w:r w:rsidR="00F73E6B" w:rsidRP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AED" w:rsidRDefault="006C3AED" w:rsidP="006C3AED">
      <w:pPr>
        <w:pStyle w:val="ac"/>
        <w:widowControl w:val="0"/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5E24" w:rsidRDefault="00DE5E24" w:rsidP="006C3AED">
      <w:pPr>
        <w:pStyle w:val="ac"/>
        <w:widowControl w:val="0"/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3AED" w:rsidRDefault="006C3AED" w:rsidP="006C3AED">
      <w:pPr>
        <w:pStyle w:val="ac"/>
        <w:widowControl w:val="0"/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18F4" w:rsidRPr="006C3AED" w:rsidRDefault="00552DCF" w:rsidP="006C3AED">
      <w:pPr>
        <w:pStyle w:val="ac"/>
        <w:widowControl w:val="0"/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A318F4" w:rsidRPr="006C3AE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318F4" w:rsidRPr="006C3AED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В.П. Мумбер</w:t>
      </w:r>
      <w:r w:rsidR="00A318F4" w:rsidRPr="006C3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F4" w:rsidRDefault="00A318F4" w:rsidP="00A318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18F4" w:rsidRPr="00A02A19" w:rsidRDefault="00A318F4" w:rsidP="00A318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18F4" w:rsidRPr="006C3AED" w:rsidRDefault="00A318F4" w:rsidP="00A318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6C3AED">
        <w:rPr>
          <w:rFonts w:ascii="Times New Roman" w:hAnsi="Times New Roman" w:cs="Times New Roman"/>
        </w:rPr>
        <w:t>Бобрешева Л.Н.</w:t>
      </w:r>
    </w:p>
    <w:p w:rsidR="00A318F4" w:rsidRPr="006C3AED" w:rsidRDefault="00A318F4" w:rsidP="00A318F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6C3AED">
        <w:rPr>
          <w:rFonts w:ascii="Times New Roman" w:hAnsi="Times New Roman" w:cs="Times New Roman"/>
        </w:rPr>
        <w:t>2 50 55</w:t>
      </w: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51" w:rsidRDefault="00B17951" w:rsidP="00B17951">
      <w:pPr>
        <w:spacing w:after="0"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</w:t>
      </w:r>
    </w:p>
    <w:p w:rsidR="00B17951" w:rsidRDefault="00B17951" w:rsidP="00B17951">
      <w:pPr>
        <w:spacing w:after="0"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 Администрации Александровского района;</w:t>
      </w:r>
    </w:p>
    <w:p w:rsidR="00B17951" w:rsidRDefault="00B17951" w:rsidP="00B17951">
      <w:pPr>
        <w:spacing w:after="0"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имущественных и земельных отношений Администрации Александровского района;</w:t>
      </w:r>
    </w:p>
    <w:p w:rsidR="00B17951" w:rsidRDefault="00B17951" w:rsidP="00B17951">
      <w:pPr>
        <w:spacing w:after="0"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Александровского района;</w:t>
      </w:r>
    </w:p>
    <w:p w:rsidR="00B17951" w:rsidRDefault="00B17951" w:rsidP="00B17951">
      <w:pPr>
        <w:spacing w:after="0"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отдел Администрации Александровского района</w:t>
      </w:r>
    </w:p>
    <w:p w:rsidR="006C3AED" w:rsidRDefault="006C3AED" w:rsidP="00B17951">
      <w:pPr>
        <w:spacing w:after="0"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3AED" w:rsidRDefault="006C3AED" w:rsidP="006C3AED">
      <w:pPr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73E6B" w:rsidRPr="00F73E6B" w:rsidRDefault="006C3AED" w:rsidP="006C3AED">
      <w:pPr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C3AED" w:rsidRDefault="006C3AED" w:rsidP="006C3AED">
      <w:pPr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</w:t>
      </w:r>
    </w:p>
    <w:p w:rsidR="00F73E6B" w:rsidRPr="00F73E6B" w:rsidRDefault="00F73E6B" w:rsidP="006C3AED">
      <w:pPr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E5E2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C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6.2019 № </w:t>
      </w:r>
      <w:r w:rsidR="00DE5E24">
        <w:rPr>
          <w:rFonts w:ascii="Times New Roman" w:eastAsia="Times New Roman" w:hAnsi="Times New Roman" w:cs="Times New Roman"/>
          <w:sz w:val="24"/>
          <w:szCs w:val="24"/>
          <w:lang w:eastAsia="ru-RU"/>
        </w:rPr>
        <w:t>681</w:t>
      </w:r>
    </w:p>
    <w:p w:rsidR="006C3AED" w:rsidRDefault="006C3AED" w:rsidP="006C3AE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AED" w:rsidRPr="006C3AED" w:rsidRDefault="00F73E6B" w:rsidP="006C3AE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F73E6B" w:rsidRDefault="00F73E6B" w:rsidP="006C3AE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формирования перечня налоговых расходов </w:t>
      </w:r>
      <w:r w:rsidR="006C3AED" w:rsidRPr="006C3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«Александровский район»</w:t>
      </w:r>
      <w:r w:rsidRPr="006C3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оценки налоговых расходов </w:t>
      </w:r>
      <w:r w:rsidR="006C3AED" w:rsidRPr="006C3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«Александровский район»</w:t>
      </w:r>
    </w:p>
    <w:p w:rsidR="004A5185" w:rsidRPr="006C3AED" w:rsidRDefault="004A5185" w:rsidP="006C3AE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E6B" w:rsidRPr="00B17951" w:rsidRDefault="00F73E6B" w:rsidP="004A518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 Общие положения</w:t>
      </w:r>
    </w:p>
    <w:p w:rsidR="0071675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Настоящий Порядок определяет </w:t>
      </w:r>
      <w:r w:rsidR="00B16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перечня налоговых расходов </w:t>
      </w:r>
      <w:r w:rsidR="00506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</w:t>
      </w:r>
      <w:r w:rsidR="00716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целях настоящего Порядка применяются следующие понятия:</w:t>
      </w:r>
    </w:p>
    <w:p w:rsidR="00F73E6B" w:rsidRPr="00F73E6B" w:rsidRDefault="00B16089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налогового расхода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</w:t>
      </w:r>
      <w:r w:rsidR="0067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(отраслевой орган администрации района)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в соответствии с полномочиями, установленными нормативными правовыми актами</w:t>
      </w:r>
      <w:r w:rsidR="00E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достижение соответствующих налоговому расходу целей муниципальной программы</w:t>
      </w:r>
      <w:r w:rsidR="00506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целей социально-экономического развития </w:t>
      </w:r>
      <w:r w:rsidR="00506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относящихся к муниципальным программам</w:t>
      </w:r>
      <w:r w:rsidR="00506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0F0" w:rsidRPr="00F73E6B" w:rsidRDefault="004610F0" w:rsidP="004610F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характеристики 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ов»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положениях нормативных правовых актов, которыми предусматриваются налоговые льготы, наименование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установлены льготы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плательщиков, для которых предусмотрены льготы,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иные 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перечню согласно приложени</w:t>
      </w:r>
      <w:r w:rsid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>ю к настоящему Порядку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937" w:rsidRPr="00F73E6B" w:rsidRDefault="00636937" w:rsidP="0063693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налогового расхода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совокупность данных о нормативных, фискальных и целевых характеристиках налогового расхода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составляемый куратором налогового расхода;</w:t>
      </w:r>
    </w:p>
    <w:p w:rsidR="006A07DF" w:rsidRDefault="006A07DF" w:rsidP="0063693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налоговых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содержащий сведения о распределении налоговых расходов района в соответствии с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структурных 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района и (или)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69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социально- экономической политики района, не относящимися к муниципальным программам района, а также о кураторах налоговых расходов;</w:t>
      </w:r>
    </w:p>
    <w:p w:rsidR="00F73E6B" w:rsidRDefault="00E26777" w:rsidP="006A07D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налоговые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E26777" w:rsidRPr="00F73E6B" w:rsidRDefault="00E26777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в бюджет района;</w:t>
      </w:r>
    </w:p>
    <w:p w:rsidR="00F73E6B" w:rsidRPr="00F73E6B" w:rsidRDefault="00E26777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налоговые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целевая категория налоговых расходов,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предполагающих уменьшение расходов плательщиков, имеющих право на льготы,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обеспечение которых осуществляется в полном объеме или частично за счет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3E6B" w:rsidRPr="00F73E6B" w:rsidRDefault="004610F0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характеристики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ов»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6A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целевой категории налоговых расходов, 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6A07D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</w:t>
      </w:r>
      <w:r w:rsidR="006A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плательщикам налоговых льгот,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иные характеристики, предусмотренные приложени</w:t>
      </w:r>
      <w:r w:rsid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Порядку;</w:t>
      </w:r>
    </w:p>
    <w:p w:rsidR="00F73E6B" w:rsidRPr="00F73E6B" w:rsidRDefault="00636937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фискальные характеристики 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ов»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объеме льгот, предоставленных плательщикам, 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получателей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объеме налогов, сборов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задекларированных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уплаты в бюджет </w:t>
      </w:r>
      <w:r w:rsidR="00506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иные характеристики, предусмотренные </w:t>
      </w:r>
      <w:r w:rsidR="004C6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C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 В целях оценки налоговых расходов </w:t>
      </w:r>
      <w:r w:rsidR="00D0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отдел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02C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 (далее Финансовый отдел)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3E6B" w:rsidRPr="00F83178" w:rsidRDefault="00F73E6B" w:rsidP="00701780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перечень налоговых расходов</w:t>
      </w:r>
      <w:r w:rsidR="004C6659" w:rsidRP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Томской области</w:t>
      </w:r>
      <w:r w:rsidRP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659" w:rsidRPr="00F83178" w:rsidRDefault="004C6659" w:rsidP="00701780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сбор и формирование информации о нормативных, целевых и фискальных характеристик</w:t>
      </w:r>
      <w:r w:rsidR="00F83178" w:rsidRP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района, необходимой для проведения их оценки, в том числе формирует оценку объемов налоговых расходов района </w:t>
      </w:r>
      <w:r w:rsidR="00F83178" w:rsidRP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финансовый год,  а также оценку объемов налоговых расходов района </w:t>
      </w:r>
      <w:r w:rsidRP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финансовый год, очередной финансовый год и плановый период;</w:t>
      </w:r>
    </w:p>
    <w:p w:rsidR="00F73E6B" w:rsidRPr="00F83178" w:rsidRDefault="00F83178" w:rsidP="00701780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правила формирования налоговых расходов района, подлежащей включению в паспорта налоговых расходов района</w:t>
      </w:r>
      <w:r w:rsidR="00F73E6B" w:rsidRP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3E6B" w:rsidRPr="00F83178" w:rsidRDefault="00F73E6B" w:rsidP="00701780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обобщение результатов оценки эффективности налоговых расходов, проводимой кураторами налоговых расходов.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 целях оценки налоговых расходов</w:t>
      </w:r>
      <w:r w:rsid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администраторы доходов бюджета </w:t>
      </w:r>
      <w:r w:rsid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в </w:t>
      </w:r>
      <w:r w:rsidR="00D02C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отдел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фискальных характеристиках налоговых расходов района за отчетный финансовый год, а также информацию о стимулирующих налоговых расходов района за шесть лет,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предшествующих отчетному финансовому году.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В целях оценки налоговых расходов </w:t>
      </w:r>
      <w:r w:rsid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кураторы налоговых расходов:</w:t>
      </w:r>
    </w:p>
    <w:p w:rsidR="00F73E6B" w:rsidRPr="00701780" w:rsidRDefault="00F73E6B" w:rsidP="00701780">
      <w:pPr>
        <w:pStyle w:val="ac"/>
        <w:numPr>
          <w:ilvl w:val="0"/>
          <w:numId w:val="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паспорта налоговых расходов, содержащие информацию</w:t>
      </w:r>
      <w:r w:rsid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предусмотренную приложением</w:t>
      </w:r>
      <w:r w:rsidRP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Порядку;</w:t>
      </w:r>
    </w:p>
    <w:p w:rsidR="00F73E6B" w:rsidRPr="00701780" w:rsidRDefault="00F73E6B" w:rsidP="00701780">
      <w:pPr>
        <w:pStyle w:val="ac"/>
        <w:numPr>
          <w:ilvl w:val="0"/>
          <w:numId w:val="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оценку эффективности </w:t>
      </w:r>
      <w:r w:rsidR="00F83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 расходов района</w:t>
      </w:r>
      <w:r w:rsidRP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направляют результаты такой оценки в </w:t>
      </w:r>
      <w:r w:rsidR="00701780" w:rsidRP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отдел</w:t>
      </w:r>
      <w:r w:rsidRP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780" w:rsidRPr="00701780" w:rsidRDefault="00701780" w:rsidP="00701780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3178" w:rsidRDefault="00F73E6B" w:rsidP="00701780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 Формиров</w:t>
      </w:r>
      <w:r w:rsidR="00F83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ание перечня налоговых расходов</w:t>
      </w:r>
    </w:p>
    <w:p w:rsidR="00F73E6B" w:rsidRPr="00F73E6B" w:rsidRDefault="00F73E6B" w:rsidP="007167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Проект перечня налоговых расходов </w:t>
      </w:r>
      <w:r w:rsidR="0049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плановый период </w:t>
      </w:r>
      <w:r w:rsidR="004970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25 марта и направляется на согласование ответственным исполнителям муниципальных программ </w:t>
      </w:r>
      <w:r w:rsid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организациям, которы</w:t>
      </w:r>
      <w:r w:rsidR="006F19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закрепить в качестве кураторов налоговых расходов.</w:t>
      </w:r>
    </w:p>
    <w:p w:rsid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="006F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 организации, у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казанные в пункте 6 настоящего Порядка </w:t>
      </w:r>
      <w:r w:rsidR="006F1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6F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 проект перечня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на предмет</w:t>
      </w:r>
      <w:r w:rsidR="006F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предлагаемого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распределения налоговых расходов</w:t>
      </w:r>
      <w:r w:rsidR="006F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целями муниципальных программ района, структурных элементов муниципальных программ района и (или)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19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социально – экономической политики района и определения кураторов налоговых расходов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92A" w:rsidRPr="00F73E6B" w:rsidRDefault="006F192A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по уточнению проекта перечня налоговых расходов направляются в Финансовый отдел.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указанные </w:t>
      </w:r>
      <w:r w:rsidR="006F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</w:t>
      </w:r>
      <w:r w:rsidR="006F192A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 изменени</w:t>
      </w:r>
      <w:r w:rsidR="006F19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куратора налогового расхода, </w:t>
      </w:r>
      <w:r w:rsidR="006F19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подлежат согласованию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предлагаемым куратором налогового расхода</w:t>
      </w:r>
      <w:r w:rsidR="007D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направляются в Финансовый отдел в течени</w:t>
      </w:r>
      <w:r w:rsidR="005332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D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срока, указанного в абзаце первом настоящего пункта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 w:rsidR="007D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замечания и предложения не направлены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инансовый </w:t>
      </w:r>
      <w:r w:rsid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срока, указанного в абзаце первом настоящего пункта, проект перечня считается согласованным.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замечания </w:t>
      </w:r>
      <w:r w:rsidR="007D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предложения по уточнению проекта перечня налоговых расходов не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предложений по уточнению </w:t>
      </w:r>
      <w:r w:rsidR="007D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предлагаемого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</w:t>
      </w:r>
      <w:r w:rsidR="007D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r w:rsidR="00B179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7D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соответствии с целями муниципальных программ района, структурных элементов муниципальных программ района и (или) целями социально- экономической политики района, не относящимся к муниципальным программ района,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перечня </w:t>
      </w:r>
      <w:r w:rsidR="007D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расходов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 согласованным в </w:t>
      </w:r>
      <w:r w:rsidR="007D0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8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Согласование проекта перечня налоговых расходов в части позиций, изложенных идентично </w:t>
      </w:r>
      <w:r w:rsidR="007D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позициям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7D08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</w:t>
      </w:r>
      <w:r w:rsidR="007D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структур</w:t>
      </w:r>
      <w:r w:rsidR="00AF4C5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элементы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</w:t>
      </w:r>
      <w:r w:rsidR="00AF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</w:t>
      </w:r>
      <w:r w:rsidR="00AF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случаев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полномочий органов, организаций, указанных в пункте 6 настоящего Порядка</w:t>
      </w:r>
      <w:r w:rsidR="00AF4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разногласий по проекту перечня налоговых расходов </w:t>
      </w:r>
      <w:r w:rsid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инансовый </w:t>
      </w:r>
      <w:r w:rsid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AF4C5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обеспечивает проведение согласительных совещаний с соответствующими органами, организациями.</w:t>
      </w:r>
      <w:r w:rsidR="00CF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Разногласия, не урегулированные по результатам</w:t>
      </w:r>
      <w:r w:rsidR="00AF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совещаний</w:t>
      </w:r>
      <w:r w:rsidR="00CF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рассматриваются Главой </w:t>
      </w:r>
      <w:r w:rsid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Администрации </w:t>
      </w:r>
      <w:r w:rsid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</w:t>
      </w:r>
      <w:r w:rsid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отдел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информацию для уточнения указанного перечня.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</w:t>
      </w:r>
      <w:r w:rsidR="009D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701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период).</w:t>
      </w:r>
    </w:p>
    <w:p w:rsidR="00B17951" w:rsidRDefault="00B17951" w:rsidP="00C3159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E6B" w:rsidRPr="00B17951" w:rsidRDefault="00F73E6B" w:rsidP="00C3159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 </w:t>
      </w:r>
      <w:r w:rsidR="006E6EAC" w:rsidRPr="00B17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</w:t>
      </w:r>
      <w:r w:rsidRPr="00B17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ценк</w:t>
      </w:r>
      <w:r w:rsidR="006E6EAC" w:rsidRPr="00B17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17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налоговых расходов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3201" w:rsidRPr="00B179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Методики оценки эффективности налоговых расходов </w:t>
      </w:r>
      <w:r w:rsidR="006E6EAC" w:rsidRPr="00B179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</w:t>
      </w:r>
      <w:r w:rsidR="006E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кураторами налоговых расходов и утверждаются по согласованию с </w:t>
      </w:r>
      <w:r w:rsid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="006E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Отделом экономики Администрации Александровского района Томской области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6B" w:rsidRPr="00A23AD5" w:rsidRDefault="00F73E6B" w:rsidP="006E6EA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32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оценки эффективности налоговых расходов</w:t>
      </w:r>
      <w:r w:rsidR="006E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AD5" w:rsidRP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отдел</w:t>
      </w:r>
      <w:r w:rsidRP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 направляет </w:t>
      </w:r>
      <w:r w:rsidRP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6E6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15 ноября,</w:t>
      </w:r>
      <w:r w:rsidRP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кураторам налоговых расходов оценку объем</w:t>
      </w:r>
      <w:r w:rsidR="006E6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</w:t>
      </w:r>
      <w:r w:rsidR="006E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P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значениях фискальных характеристик </w:t>
      </w:r>
      <w:r w:rsidR="000E6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 расходов на основании информации главных администраторов доходов бюджета района.</w:t>
      </w:r>
      <w:r w:rsidR="00F5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эффективности налоговых расходов района осуществляется кураторами  налоговых расходов и включает:</w:t>
      </w:r>
    </w:p>
    <w:p w:rsidR="00F52D97" w:rsidRDefault="00F52D97" w:rsidP="00A23AD5">
      <w:pPr>
        <w:pStyle w:val="ac"/>
        <w:numPr>
          <w:ilvl w:val="0"/>
          <w:numId w:val="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целесообразности налоговых расходов района;</w:t>
      </w:r>
    </w:p>
    <w:p w:rsidR="00F52D97" w:rsidRDefault="00F52D97" w:rsidP="00A23AD5">
      <w:pPr>
        <w:pStyle w:val="ac"/>
        <w:numPr>
          <w:ilvl w:val="0"/>
          <w:numId w:val="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результативности налоговых расходов района.</w:t>
      </w:r>
    </w:p>
    <w:p w:rsidR="00F73E6B" w:rsidRPr="00F73E6B" w:rsidRDefault="00F52D97" w:rsidP="004A44E8">
      <w:pPr>
        <w:pStyle w:val="ac"/>
        <w:tabs>
          <w:tab w:val="left" w:pos="851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32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Критериями целесообразности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расходов 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73E6B" w:rsidRPr="00A23AD5" w:rsidRDefault="00F73E6B" w:rsidP="00A23AD5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налоговых расходов целям муниципальных программ</w:t>
      </w:r>
      <w:r w:rsidR="00F52D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элементов</w:t>
      </w:r>
      <w:r w:rsidR="00F5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района и (</w:t>
      </w:r>
      <w:r w:rsidRP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52D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 социально-экономической политики </w:t>
      </w:r>
      <w:r w:rsidR="00A23AD5" w:rsidRP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</w:t>
      </w:r>
      <w:r w:rsidR="00F52D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относящимся к муниципальным программам района</w:t>
      </w:r>
      <w:r w:rsidRP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D97" w:rsidRDefault="00F73E6B" w:rsidP="00A23AD5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востребованность </w:t>
      </w:r>
      <w:r w:rsidR="00F52D97" w:rsidRPr="00F5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плательщиками представленных </w:t>
      </w:r>
      <w:r w:rsidRPr="00F52D9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</w:t>
      </w:r>
      <w:r w:rsidR="00F52D97" w:rsidRPr="00F52D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3E6834" w:rsidRDefault="00F52D97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32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несоответствие налоговых расходов района</w:t>
      </w:r>
      <w:r w:rsidR="003E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одному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критериев</w:t>
      </w:r>
      <w:r w:rsidR="003E683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 1</w:t>
      </w:r>
      <w:r w:rsidR="005332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куратору налоговых расходов надлежит </w:t>
      </w:r>
      <w:r w:rsidR="003E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в Финансовый отдел 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</w:t>
      </w:r>
      <w:r w:rsidR="003E683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сохранении (уточнении, отмене) льгот для плательщиков.</w:t>
      </w:r>
    </w:p>
    <w:p w:rsidR="00B82FFA" w:rsidRDefault="00F73E6B" w:rsidP="005332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44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качестве критерия результативности </w:t>
      </w:r>
      <w:r w:rsidR="0053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расходов района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="00533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минимум один показатель (индикатор)  достижений целей муниципальной программы района и (или) целей социально – экономической политики района, не относящихся к муниципальным программам, либо иной показатель (индикатор), на значение которого оказывают влияние налоговые расходы района.</w:t>
      </w:r>
    </w:p>
    <w:p w:rsidR="00B82FFA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44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Оценк</w:t>
      </w:r>
      <w:r w:rsidR="00B82FFA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результативности налоговых расходов района включает оценку бюджетной эффективности налоговых расходов района.</w:t>
      </w:r>
    </w:p>
    <w:p w:rsidR="00643306" w:rsidRDefault="00B82FFA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п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одлежит вклад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для плательщиков льгот в изменение значения показателя (индикатора) достижений целей муниципальной программы района и (или) целей социально- экономической политики района, не относящихся к муниципальным программам</w:t>
      </w:r>
      <w:r w:rsidR="004A44E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рас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44E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читывается как разница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306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значением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показателя (индикатора)</w:t>
      </w:r>
      <w:r w:rsidR="00643306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 и значением указанного показателя (индикатора) </w:t>
      </w:r>
      <w:r w:rsidR="00643306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его учета.</w:t>
      </w:r>
    </w:p>
    <w:p w:rsidR="00643306" w:rsidRPr="00643306" w:rsidRDefault="00F73E6B" w:rsidP="0064330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проведения оценки бюджетной эффективности налоговых расходов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целей социально-экономической политики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сравнение объемов расходов бюджета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применения альтернативных механизмов достижения целей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района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целей социально-экономической политики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объемов предоставленных льгот (расчет прироста показателя (индикатора) достижения целей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целей социально-экономической политики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1 рубль налоговых расходов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1 рубль расходов бюджета </w:t>
      </w:r>
      <w:r w:rsid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643306" w:rsidRPr="00643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того же показателя (индикатора) в случае применения альтернативных механизмов).</w:t>
      </w:r>
    </w:p>
    <w:p w:rsidR="00F73E6B" w:rsidRPr="00F73E6B" w:rsidRDefault="00643306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альтернативных механизмов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целей муниципальных программ района и (или) целей социально – экономическо</w:t>
      </w:r>
      <w:r w:rsidR="00F57FC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политики</w:t>
      </w:r>
      <w:r w:rsidR="00B179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относящихся к муниципальным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учитываться в том числе: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или иные формы непосредственной финансовой поддержки плательщиков</w:t>
      </w:r>
      <w:r w:rsidR="00F57F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право на льготы,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</w:t>
      </w:r>
      <w:r w:rsid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F57F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муниципальных гарантий </w:t>
      </w:r>
      <w:r w:rsidR="00A23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F57F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обязательствам плательщиков</w:t>
      </w:r>
      <w:r w:rsidR="00F57F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право на льготы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</w:t>
      </w:r>
      <w:r w:rsidR="00F57F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право на льготы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</w:t>
      </w:r>
      <w:r w:rsidR="00F5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57FCC" w:rsidRDefault="00F57FCC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по каждому налоговому расходу. В случае если для отдельных категорий </w:t>
      </w:r>
      <w:r w:rsidRPr="00F5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5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 целом в отношении соответствующей категории плательщиков, имеющих льготы.</w:t>
      </w:r>
    </w:p>
    <w:p w:rsidR="00F57FCC" w:rsidRDefault="00F57FCC" w:rsidP="00F57F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Pr="007422C3">
        <w:rPr>
          <w:rFonts w:ascii="Times New Roman" w:hAnsi="Times New Roman" w:cs="Times New Roman"/>
          <w:sz w:val="24"/>
          <w:szCs w:val="24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7422C3">
        <w:rPr>
          <w:rFonts w:ascii="Times New Roman" w:hAnsi="Times New Roman" w:cs="Times New Roman"/>
          <w:sz w:val="24"/>
          <w:szCs w:val="24"/>
        </w:rPr>
        <w:t xml:space="preserve"> определяется в отношении налоговых расходов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7422C3">
        <w:rPr>
          <w:rFonts w:ascii="Times New Roman" w:hAnsi="Times New Roman" w:cs="Times New Roman"/>
          <w:sz w:val="24"/>
          <w:szCs w:val="24"/>
        </w:rPr>
        <w:t xml:space="preserve">, перечень которых формируется </w:t>
      </w:r>
      <w:r>
        <w:rPr>
          <w:rFonts w:ascii="Times New Roman" w:hAnsi="Times New Roman" w:cs="Times New Roman"/>
          <w:sz w:val="24"/>
          <w:szCs w:val="24"/>
        </w:rPr>
        <w:t>Финансовым отделом</w:t>
      </w:r>
      <w:r w:rsidRPr="007422C3">
        <w:rPr>
          <w:rFonts w:ascii="Times New Roman" w:hAnsi="Times New Roman" w:cs="Times New Roman"/>
          <w:sz w:val="24"/>
          <w:szCs w:val="24"/>
        </w:rPr>
        <w:t xml:space="preserve">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7422C3">
        <w:rPr>
          <w:rFonts w:ascii="Times New Roman" w:hAnsi="Times New Roman" w:cs="Times New Roman"/>
          <w:sz w:val="24"/>
          <w:szCs w:val="24"/>
        </w:rPr>
        <w:t xml:space="preserve"> </w:t>
      </w:r>
      <w:r w:rsidRPr="00F57FCC">
        <w:rPr>
          <w:rFonts w:ascii="Times New Roman" w:hAnsi="Times New Roman" w:cs="Times New Roman"/>
          <w:b/>
          <w:sz w:val="28"/>
          <w:szCs w:val="24"/>
        </w:rPr>
        <w:t>(E)</w:t>
      </w:r>
      <w:r w:rsidRPr="00F57FCC">
        <w:rPr>
          <w:rFonts w:ascii="Times New Roman" w:hAnsi="Times New Roman" w:cs="Times New Roman"/>
          <w:sz w:val="28"/>
          <w:szCs w:val="24"/>
        </w:rPr>
        <w:t xml:space="preserve"> </w:t>
      </w:r>
      <w:r w:rsidRPr="007422C3">
        <w:rPr>
          <w:rFonts w:ascii="Times New Roman" w:hAnsi="Times New Roman" w:cs="Times New Roman"/>
          <w:sz w:val="24"/>
          <w:szCs w:val="24"/>
        </w:rPr>
        <w:t>по следующей формуле:</w:t>
      </w:r>
    </w:p>
    <w:p w:rsidR="00F57FCC" w:rsidRDefault="00F57FCC" w:rsidP="00F57F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FCC" w:rsidRPr="00337619" w:rsidRDefault="00F57FCC" w:rsidP="00F57F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E=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</w:rPr>
              <m:t>i-1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j-1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Nij-Boj х (1+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gi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funcPr>
                      <m:fName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1-r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i</m:t>
                            </m:r>
                          </m:sup>
                        </m:sSup>
                      </m:e>
                    </m:func>
                  </m:den>
                </m:f>
              </m:e>
            </m:nary>
          </m:e>
        </m:nary>
      </m:oMath>
      <w:r w:rsidR="000B5BDF" w:rsidRPr="000B5BDF">
        <w:rPr>
          <w:rFonts w:ascii="Times New Roman" w:hAnsi="Times New Roman" w:cs="Times New Roman"/>
          <w:sz w:val="32"/>
          <w:szCs w:val="32"/>
        </w:rPr>
        <w:t xml:space="preserve"> </w:t>
      </w:r>
      <w:r w:rsidR="000B5BDF">
        <w:rPr>
          <w:rFonts w:ascii="Times New Roman" w:hAnsi="Times New Roman" w:cs="Times New Roman"/>
          <w:sz w:val="32"/>
          <w:szCs w:val="32"/>
        </w:rPr>
        <w:t xml:space="preserve">  </w:t>
      </w:r>
      <w:r w:rsidR="000B5BDF" w:rsidRPr="000B5BDF">
        <w:rPr>
          <w:rFonts w:ascii="Times New Roman" w:hAnsi="Times New Roman" w:cs="Times New Roman"/>
          <w:sz w:val="32"/>
          <w:szCs w:val="32"/>
        </w:rPr>
        <w:t xml:space="preserve">*(1) </w:t>
      </w:r>
      <w:r w:rsidR="000B5BDF" w:rsidRPr="00337619">
        <w:rPr>
          <w:rFonts w:ascii="Times New Roman" w:hAnsi="Times New Roman" w:cs="Times New Roman"/>
          <w:sz w:val="32"/>
          <w:szCs w:val="32"/>
        </w:rPr>
        <w:t>,</w:t>
      </w:r>
    </w:p>
    <w:p w:rsidR="00BE1601" w:rsidRDefault="00BE1601" w:rsidP="00F57F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E1601" w:rsidRPr="00BE1601" w:rsidRDefault="00BE1601" w:rsidP="00BE16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619">
        <w:rPr>
          <w:rFonts w:ascii="Times New Roman" w:hAnsi="Times New Roman" w:cs="Times New Roman"/>
          <w:b/>
          <w:sz w:val="28"/>
          <w:szCs w:val="28"/>
        </w:rPr>
        <w:t>i</w:t>
      </w:r>
      <w:r w:rsidRPr="00BE1601">
        <w:rPr>
          <w:rFonts w:ascii="Times New Roman" w:hAnsi="Times New Roman" w:cs="Times New Roman"/>
          <w:sz w:val="24"/>
          <w:szCs w:val="24"/>
        </w:rPr>
        <w:t xml:space="preserve"> - порядковый номер года, имеющий значение от 1 до 5;</w:t>
      </w:r>
    </w:p>
    <w:p w:rsidR="00BE1601" w:rsidRPr="00BE1601" w:rsidRDefault="00BE1601" w:rsidP="00BE16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23">
        <w:rPr>
          <w:rFonts w:ascii="Times New Roman" w:hAnsi="Times New Roman" w:cs="Times New Roman"/>
          <w:b/>
          <w:sz w:val="24"/>
          <w:szCs w:val="24"/>
        </w:rPr>
        <w:t>m</w:t>
      </w:r>
      <w:r w:rsidRPr="00223223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r w:rsidRPr="00BE1601">
        <w:rPr>
          <w:rFonts w:ascii="Times New Roman" w:hAnsi="Times New Roman" w:cs="Times New Roman"/>
          <w:sz w:val="24"/>
          <w:szCs w:val="24"/>
        </w:rPr>
        <w:t xml:space="preserve"> - количество плательщиков, воспользовавшихся льготой в </w:t>
      </w:r>
      <w:r w:rsidRPr="00223223">
        <w:rPr>
          <w:rFonts w:ascii="Times New Roman" w:hAnsi="Times New Roman" w:cs="Times New Roman"/>
          <w:b/>
          <w:sz w:val="24"/>
          <w:szCs w:val="24"/>
        </w:rPr>
        <w:t>i-м</w:t>
      </w:r>
      <w:r w:rsidRPr="00BE1601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E1601" w:rsidRPr="00BE1601" w:rsidRDefault="00BE1601" w:rsidP="00BE16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619">
        <w:rPr>
          <w:rFonts w:ascii="Times New Roman" w:hAnsi="Times New Roman" w:cs="Times New Roman"/>
          <w:b/>
          <w:sz w:val="28"/>
          <w:szCs w:val="28"/>
        </w:rPr>
        <w:t>j</w:t>
      </w:r>
      <w:r w:rsidRPr="00BE1601">
        <w:rPr>
          <w:rFonts w:ascii="Times New Roman" w:hAnsi="Times New Roman" w:cs="Times New Roman"/>
          <w:sz w:val="24"/>
          <w:szCs w:val="24"/>
        </w:rPr>
        <w:t xml:space="preserve"> - порядковый номер плательщика, имеющий значение от 1 до m;</w:t>
      </w:r>
    </w:p>
    <w:p w:rsidR="00BE1601" w:rsidRPr="00BE1601" w:rsidRDefault="00BE1601" w:rsidP="00BE16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619">
        <w:rPr>
          <w:rFonts w:ascii="Times New Roman" w:hAnsi="Times New Roman" w:cs="Times New Roman"/>
          <w:b/>
          <w:sz w:val="28"/>
          <w:szCs w:val="28"/>
        </w:rPr>
        <w:t>N</w:t>
      </w:r>
      <w:r w:rsidRPr="00337619">
        <w:rPr>
          <w:rFonts w:ascii="Times New Roman" w:hAnsi="Times New Roman" w:cs="Times New Roman"/>
          <w:b/>
          <w:sz w:val="28"/>
          <w:szCs w:val="28"/>
          <w:vertAlign w:val="subscript"/>
        </w:rPr>
        <w:t>ij</w:t>
      </w:r>
      <w:r w:rsidRPr="00BE1601">
        <w:rPr>
          <w:rFonts w:ascii="Times New Roman" w:hAnsi="Times New Roman" w:cs="Times New Roman"/>
          <w:sz w:val="24"/>
          <w:szCs w:val="24"/>
        </w:rPr>
        <w:t xml:space="preserve"> - о</w:t>
      </w:r>
      <w:r w:rsidR="00F9426D">
        <w:rPr>
          <w:rFonts w:ascii="Times New Roman" w:hAnsi="Times New Roman" w:cs="Times New Roman"/>
          <w:sz w:val="24"/>
          <w:szCs w:val="24"/>
        </w:rPr>
        <w:t xml:space="preserve">бъем налогов, сборов и </w:t>
      </w:r>
      <w:r w:rsidRPr="00BE1601">
        <w:rPr>
          <w:rFonts w:ascii="Times New Roman" w:hAnsi="Times New Roman" w:cs="Times New Roman"/>
          <w:sz w:val="24"/>
          <w:szCs w:val="24"/>
        </w:rPr>
        <w:t xml:space="preserve">платежей, задекларированных для уплаты в бюджет </w:t>
      </w:r>
      <w:r w:rsidR="00F9426D">
        <w:rPr>
          <w:rFonts w:ascii="Times New Roman" w:hAnsi="Times New Roman" w:cs="Times New Roman"/>
          <w:sz w:val="24"/>
          <w:szCs w:val="24"/>
        </w:rPr>
        <w:t>района</w:t>
      </w:r>
      <w:r w:rsidRPr="00BE1601">
        <w:rPr>
          <w:rFonts w:ascii="Times New Roman" w:hAnsi="Times New Roman" w:cs="Times New Roman"/>
          <w:sz w:val="24"/>
          <w:szCs w:val="24"/>
        </w:rPr>
        <w:t xml:space="preserve"> j-м плательщиком в i-м году.</w:t>
      </w:r>
    </w:p>
    <w:p w:rsidR="00F9426D" w:rsidRPr="00F9426D" w:rsidRDefault="00F9426D" w:rsidP="00F9426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9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плательщиков, имеющих право на льготы, льготы действуют менее 6 лет, оцениваются (прогнозируются) по данным кураторов налоговых расходов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Pr="00F94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426D" w:rsidRPr="00F9426D" w:rsidRDefault="00F9426D" w:rsidP="00F9426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</w:t>
      </w:r>
      <w:r w:rsidRPr="0033761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0j</w:t>
      </w:r>
      <w:r w:rsidRPr="00F9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базовый объем налогов, сборов, задекларированных для уплаты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9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j-м</w:t>
      </w:r>
      <w:r w:rsidRPr="00F9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плательщиком в базовом году;</w:t>
      </w:r>
    </w:p>
    <w:p w:rsidR="00F9426D" w:rsidRPr="00F9426D" w:rsidRDefault="00F9426D" w:rsidP="00F9426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</w:t>
      </w:r>
      <w:r w:rsidRPr="0033761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i</w:t>
      </w:r>
      <w:r w:rsidRPr="00F9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номинальный темп прироста доходов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района </w:t>
      </w:r>
      <w:r w:rsidRPr="00F9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3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i-м</w:t>
      </w:r>
      <w:r w:rsidRPr="00F9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отношению к базовому году.</w:t>
      </w:r>
    </w:p>
    <w:p w:rsidR="00223223" w:rsidRDefault="00F9426D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оминальный темп прироста доходов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уплаты налогов, сборов и платежей в бюджет района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 экономического развития района на очередной финансовый год и плановый период, заложенному в основу решения  о бюджете на очередной финансовый год и плановый период,</w:t>
      </w:r>
      <w:r w:rsidR="00223223" w:rsidRPr="0022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223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целевого уровня инфляции, определяемого Центральным банком Российской Федерации на среднесрочную перспективу (4 процента)</w:t>
      </w:r>
      <w:r w:rsidR="002232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223" w:rsidRPr="00223223" w:rsidRDefault="00223223" w:rsidP="0022322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Номинальный темп прироста доходов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района </w:t>
      </w:r>
      <w:r w:rsidRPr="0022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уплаты налогов, сборов, платежей 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Pr="0022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доводится до кураторов налоговых расходов не позднее 15 ноября;</w:t>
      </w:r>
    </w:p>
    <w:p w:rsidR="00223223" w:rsidRDefault="00223223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6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22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расчетная стоимость среднесрочных рыночных заимствований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принимаемая на уровне 7,5 процентов.</w:t>
      </w:r>
    </w:p>
    <w:p w:rsidR="00223223" w:rsidRDefault="00337619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объем налогов, сборов и платежей, задекларированных в бюджет района </w:t>
      </w:r>
      <w:r w:rsidR="002232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223223" w:rsidRPr="002232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плательщиком в базовом году </w:t>
      </w:r>
      <w:r w:rsidR="00223223" w:rsidRPr="0033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(B0j)</w:t>
      </w:r>
      <w:r w:rsidR="0022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рассчитывается по формуле:</w:t>
      </w:r>
    </w:p>
    <w:p w:rsidR="00337619" w:rsidRDefault="00337619" w:rsidP="00337619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37619" w:rsidRPr="00337619" w:rsidRDefault="00337619" w:rsidP="00337619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37619">
        <w:rPr>
          <w:rFonts w:ascii="Times New Roman" w:hAnsi="Times New Roman" w:cs="Times New Roman"/>
          <w:sz w:val="32"/>
          <w:szCs w:val="32"/>
        </w:rPr>
        <w:t>B</w:t>
      </w:r>
      <w:r w:rsidRPr="00337619">
        <w:rPr>
          <w:rFonts w:ascii="Times New Roman" w:hAnsi="Times New Roman" w:cs="Times New Roman"/>
          <w:sz w:val="32"/>
          <w:szCs w:val="32"/>
          <w:vertAlign w:val="subscript"/>
        </w:rPr>
        <w:t>0j</w:t>
      </w:r>
      <w:r w:rsidRPr="00337619">
        <w:rPr>
          <w:rFonts w:ascii="Times New Roman" w:hAnsi="Times New Roman" w:cs="Times New Roman"/>
          <w:sz w:val="32"/>
          <w:szCs w:val="32"/>
        </w:rPr>
        <w:t xml:space="preserve"> = N</w:t>
      </w:r>
      <w:r w:rsidRPr="00337619">
        <w:rPr>
          <w:rFonts w:ascii="Times New Roman" w:hAnsi="Times New Roman" w:cs="Times New Roman"/>
          <w:sz w:val="32"/>
          <w:szCs w:val="32"/>
          <w:vertAlign w:val="subscript"/>
        </w:rPr>
        <w:t>0j</w:t>
      </w:r>
      <w:r w:rsidRPr="00337619">
        <w:rPr>
          <w:rFonts w:ascii="Times New Roman" w:hAnsi="Times New Roman" w:cs="Times New Roman"/>
          <w:sz w:val="32"/>
          <w:szCs w:val="32"/>
        </w:rPr>
        <w:t xml:space="preserve"> + L</w:t>
      </w:r>
      <w:r w:rsidRPr="00337619">
        <w:rPr>
          <w:rFonts w:ascii="Times New Roman" w:hAnsi="Times New Roman" w:cs="Times New Roman"/>
          <w:sz w:val="32"/>
          <w:szCs w:val="32"/>
          <w:vertAlign w:val="subscript"/>
        </w:rPr>
        <w:t>0j</w:t>
      </w:r>
      <w:r w:rsidRPr="00337619">
        <w:rPr>
          <w:rFonts w:ascii="Times New Roman" w:hAnsi="Times New Roman" w:cs="Times New Roman"/>
          <w:sz w:val="32"/>
          <w:szCs w:val="32"/>
        </w:rPr>
        <w:t>,</w:t>
      </w:r>
    </w:p>
    <w:p w:rsidR="00337619" w:rsidRDefault="00337619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19" w:rsidRPr="00337619" w:rsidRDefault="00337619" w:rsidP="0033761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61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37619" w:rsidRPr="00337619" w:rsidRDefault="00337619" w:rsidP="0033761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</w:t>
      </w:r>
      <w:r w:rsidRPr="0033761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0j</w:t>
      </w:r>
      <w:r w:rsidRPr="0033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налогов, сборов, х платежей, задекларированных для уплаты в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33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j-м плательщиком в базовом году;</w:t>
      </w:r>
    </w:p>
    <w:p w:rsidR="00337619" w:rsidRPr="00337619" w:rsidRDefault="00337619" w:rsidP="0033761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</w:t>
      </w:r>
      <w:r w:rsidRPr="0033761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0j</w:t>
      </w:r>
      <w:r w:rsidRPr="0033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льгот, предоставленных </w:t>
      </w:r>
      <w:r w:rsidRPr="0033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j-му</w:t>
      </w:r>
      <w:r w:rsidRPr="0033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плательщику в базовом году.</w:t>
      </w:r>
    </w:p>
    <w:p w:rsidR="00337619" w:rsidRPr="00337619" w:rsidRDefault="00337619" w:rsidP="0033761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базовым годом в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Порядке</w:t>
      </w:r>
      <w:r w:rsidRPr="0033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год, предшествующий году начала получения </w:t>
      </w:r>
      <w:r w:rsidRPr="0033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j-м</w:t>
      </w:r>
      <w:r w:rsidRPr="0033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плательщиком льготы, либо 6-й год, предшествующий отчетному году, если льготы предоставляются плательщику более 6 лет.</w:t>
      </w:r>
    </w:p>
    <w:p w:rsidR="00337619" w:rsidRDefault="00337619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</w:t>
      </w:r>
      <w:r w:rsidRPr="003376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</w:t>
      </w:r>
    </w:p>
    <w:p w:rsidR="00F73E6B" w:rsidRPr="00F73E6B" w:rsidRDefault="00337619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F73E6B"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итогам оценки результативности формируется заключение: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</w:t>
      </w:r>
      <w:r w:rsidR="0071675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инансовый </w:t>
      </w:r>
      <w:r w:rsidR="00716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10 августа текущего финансового года.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22.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</w:t>
      </w:r>
      <w:r w:rsidR="0071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23.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F73E6B" w:rsidRPr="00F73E6B" w:rsidRDefault="00F73E6B" w:rsidP="007F3B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716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71675B" w:rsidRDefault="007167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675B" w:rsidRDefault="000B5BDF" w:rsidP="000B5BDF">
      <w:pPr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1675B" w:rsidRDefault="00F73E6B" w:rsidP="000B5BDF">
      <w:pPr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 перечня</w:t>
      </w:r>
      <w:r w:rsidR="0071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75B" w:rsidRDefault="00F73E6B" w:rsidP="000B5BDF">
      <w:pPr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расходов </w:t>
      </w:r>
      <w:r w:rsidR="0071675B" w:rsidRPr="00716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</w:p>
    <w:p w:rsidR="0071675B" w:rsidRDefault="0071675B" w:rsidP="000B5BDF">
      <w:pPr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«Александровский район» </w:t>
      </w:r>
    </w:p>
    <w:p w:rsidR="0071675B" w:rsidRDefault="0071675B" w:rsidP="000B5BDF">
      <w:pPr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оценки налоговых расходов</w:t>
      </w:r>
    </w:p>
    <w:p w:rsidR="0071675B" w:rsidRDefault="0071675B" w:rsidP="000B5BDF">
      <w:pPr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6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</w:t>
      </w:r>
    </w:p>
    <w:p w:rsidR="0071675B" w:rsidRDefault="0071675B" w:rsidP="000B5BDF">
      <w:pPr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«Александровский район»</w:t>
      </w:r>
    </w:p>
    <w:p w:rsidR="0071675B" w:rsidRDefault="0071675B" w:rsidP="0071675B">
      <w:pPr>
        <w:spacing w:after="0" w:line="240" w:lineRule="atLeast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675B" w:rsidRPr="00552DCF" w:rsidRDefault="0071675B" w:rsidP="00552DCF">
      <w:pPr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014E" w:rsidRPr="00552DCF" w:rsidRDefault="00F73E6B" w:rsidP="00552DCF">
      <w:pPr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F73E6B" w:rsidRPr="00552DCF" w:rsidRDefault="00F73E6B" w:rsidP="00552DCF">
      <w:pPr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информации, включаемой в паспорт налогового расхода</w:t>
      </w:r>
    </w:p>
    <w:p w:rsidR="00F73E6B" w:rsidRPr="00552DCF" w:rsidRDefault="0044014E" w:rsidP="00552DCF">
      <w:pPr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«Александровский район»</w:t>
      </w:r>
    </w:p>
    <w:p w:rsidR="0044014E" w:rsidRPr="00552DCF" w:rsidRDefault="0044014E" w:rsidP="00552DCF">
      <w:pPr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6323"/>
        <w:gridCol w:w="2576"/>
      </w:tblGrid>
      <w:tr w:rsidR="00F73E6B" w:rsidRPr="00552DCF" w:rsidTr="00552DCF">
        <w:trPr>
          <w:trHeight w:val="113"/>
          <w:tblCellSpacing w:w="15" w:type="dxa"/>
        </w:trPr>
        <w:tc>
          <w:tcPr>
            <w:tcW w:w="6673" w:type="dxa"/>
            <w:gridSpan w:val="2"/>
            <w:vAlign w:val="center"/>
            <w:hideMark/>
          </w:tcPr>
          <w:p w:rsidR="00F73E6B" w:rsidRPr="00552DCF" w:rsidRDefault="00F73E6B" w:rsidP="00552DCF">
            <w:pPr>
              <w:spacing w:after="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F73E6B" w:rsidRPr="00552DCF" w:rsidRDefault="00F73E6B" w:rsidP="00552DCF">
            <w:pPr>
              <w:spacing w:after="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F73E6B" w:rsidRPr="00552DCF" w:rsidTr="000B5BDF">
        <w:trPr>
          <w:trHeight w:val="113"/>
          <w:tblCellSpacing w:w="15" w:type="dxa"/>
        </w:trPr>
        <w:tc>
          <w:tcPr>
            <w:tcW w:w="9234" w:type="dxa"/>
            <w:gridSpan w:val="3"/>
            <w:vAlign w:val="center"/>
            <w:hideMark/>
          </w:tcPr>
          <w:p w:rsidR="00F73E6B" w:rsidRPr="00552DCF" w:rsidRDefault="00F73E6B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I. Нормативные характеристики налогового расхода </w:t>
            </w:r>
            <w:r w:rsidR="0044014E" w:rsidRPr="0055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  <w:r w:rsidRPr="0055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— налоговый расход)</w:t>
            </w:r>
          </w:p>
        </w:tc>
      </w:tr>
      <w:tr w:rsidR="00F73E6B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F73E6B" w:rsidRPr="00552DCF" w:rsidRDefault="00F73E6B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3" w:type="dxa"/>
            <w:vAlign w:val="center"/>
            <w:hideMark/>
          </w:tcPr>
          <w:p w:rsidR="00F73E6B" w:rsidRPr="00552DCF" w:rsidRDefault="00F73E6B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налога, сбора, платежа, по которому предусматрива</w:t>
            </w:r>
            <w:r w:rsidR="0044014E"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налоговы</w:t>
            </w:r>
            <w:r w:rsidR="0044014E"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льготы, освобождение и иные преференции</w:t>
            </w:r>
          </w:p>
        </w:tc>
        <w:tc>
          <w:tcPr>
            <w:tcW w:w="0" w:type="auto"/>
            <w:vAlign w:val="center"/>
            <w:hideMark/>
          </w:tcPr>
          <w:p w:rsidR="00F73E6B" w:rsidRPr="00552DCF" w:rsidRDefault="00F73E6B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44014E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</w:tcPr>
          <w:p w:rsidR="0044014E" w:rsidRPr="00552DCF" w:rsidRDefault="0044014E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3"/>
            </w:tblGrid>
            <w:tr w:rsidR="0044014E" w:rsidRPr="00552DCF">
              <w:trPr>
                <w:trHeight w:val="615"/>
              </w:trPr>
              <w:tc>
                <w:tcPr>
                  <w:tcW w:w="0" w:type="auto"/>
                </w:tcPr>
                <w:p w:rsidR="0044014E" w:rsidRPr="00552DCF" w:rsidRDefault="0044014E" w:rsidP="00552DCF">
                  <w:pPr>
                    <w:spacing w:after="0" w:line="240" w:lineRule="atLeast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Нормативный правовой акт, по которому предусматривается налоговая льгота, освобождение и иные преференции по налогам, сборам, платежам </w:t>
                  </w:r>
                </w:p>
              </w:tc>
            </w:tr>
          </w:tbl>
          <w:p w:rsidR="0044014E" w:rsidRPr="00552DCF" w:rsidRDefault="0044014E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014E" w:rsidRPr="00552DCF" w:rsidRDefault="0044014E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44014E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</w:tcPr>
          <w:p w:rsidR="0044014E" w:rsidRPr="00552DCF" w:rsidRDefault="0044014E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9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3"/>
            </w:tblGrid>
            <w:tr w:rsidR="0044014E" w:rsidRPr="00552DCF">
              <w:trPr>
                <w:trHeight w:val="616"/>
              </w:trPr>
              <w:tc>
                <w:tcPr>
                  <w:tcW w:w="0" w:type="auto"/>
                </w:tcPr>
                <w:p w:rsidR="0044014E" w:rsidRPr="00552DCF" w:rsidRDefault="0044014E" w:rsidP="00552DCF">
                  <w:pPr>
                    <w:spacing w:after="0" w:line="240" w:lineRule="atLeast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Категории плательщиков налогов, сборов, платежей для которых предусмотрены налоговые льготы, освобождения и иные преференции </w:t>
                  </w:r>
                </w:p>
              </w:tc>
            </w:tr>
          </w:tbl>
          <w:p w:rsidR="0044014E" w:rsidRPr="00552DCF" w:rsidRDefault="0044014E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014E" w:rsidRPr="00552DCF" w:rsidRDefault="0044014E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F73E6B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F73E6B" w:rsidRPr="00552DCF" w:rsidRDefault="0044014E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93" w:type="dxa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3"/>
            </w:tblGrid>
            <w:tr w:rsidR="0044014E" w:rsidRPr="00552DCF">
              <w:trPr>
                <w:trHeight w:val="456"/>
              </w:trPr>
              <w:tc>
                <w:tcPr>
                  <w:tcW w:w="0" w:type="auto"/>
                </w:tcPr>
                <w:p w:rsidR="0044014E" w:rsidRPr="00552DCF" w:rsidRDefault="0044014E" w:rsidP="00552DCF">
                  <w:pPr>
                    <w:spacing w:after="0" w:line="240" w:lineRule="atLeast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Условия предоставления налоговых льгот, освобождений и иных преференций для плательщиков налогов, сборов, платежей </w:t>
                  </w:r>
                </w:p>
              </w:tc>
            </w:tr>
          </w:tbl>
          <w:p w:rsidR="00F73E6B" w:rsidRPr="00552DCF" w:rsidRDefault="00F73E6B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3E6B" w:rsidRPr="00552DCF" w:rsidRDefault="0044014E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44014E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44014E" w:rsidRPr="00552DCF" w:rsidRDefault="0044014E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93" w:type="dxa"/>
            <w:vAlign w:val="center"/>
          </w:tcPr>
          <w:p w:rsidR="0044014E" w:rsidRPr="00552DCF" w:rsidRDefault="0044014E" w:rsidP="00552DCF">
            <w:pPr>
              <w:pStyle w:val="Default"/>
              <w:spacing w:line="240" w:lineRule="atLeast"/>
            </w:pPr>
            <w:r w:rsidRPr="00552DCF">
              <w:t xml:space="preserve">Целевая категория плательщиков налогов, сборов, платежей для которых предусмотрены налоговые льготы, освобождения и иные преференции </w:t>
            </w:r>
          </w:p>
        </w:tc>
        <w:tc>
          <w:tcPr>
            <w:tcW w:w="0" w:type="auto"/>
            <w:vAlign w:val="center"/>
            <w:hideMark/>
          </w:tcPr>
          <w:p w:rsidR="0044014E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44014E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44014E" w:rsidRPr="00552DCF" w:rsidRDefault="0044014E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93" w:type="dxa"/>
            <w:vAlign w:val="center"/>
          </w:tcPr>
          <w:p w:rsidR="0044014E" w:rsidRPr="00552DCF" w:rsidRDefault="0044014E" w:rsidP="00552DCF">
            <w:pPr>
              <w:pStyle w:val="Default"/>
              <w:spacing w:line="240" w:lineRule="atLeast"/>
            </w:pPr>
            <w:r w:rsidRPr="00552DCF">
              <w:t xml:space="preserve"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 </w:t>
            </w:r>
          </w:p>
        </w:tc>
        <w:tc>
          <w:tcPr>
            <w:tcW w:w="0" w:type="auto"/>
            <w:vAlign w:val="center"/>
            <w:hideMark/>
          </w:tcPr>
          <w:p w:rsidR="0044014E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44014E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44014E" w:rsidRPr="00552DCF" w:rsidRDefault="0044014E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93" w:type="dxa"/>
            <w:vAlign w:val="center"/>
            <w:hideMark/>
          </w:tcPr>
          <w:p w:rsidR="0044014E" w:rsidRPr="00552DCF" w:rsidRDefault="0044014E" w:rsidP="00552DCF">
            <w:pPr>
              <w:pStyle w:val="Default"/>
              <w:spacing w:line="240" w:lineRule="atLeast"/>
            </w:pPr>
            <w:r w:rsidRPr="00552DCF">
              <w:t>Даты вступления в силу нормативных правовых актов, отменяющих налоговые льготы, освобождения и иные преференции для плательщиков налогов,</w:t>
            </w:r>
            <w:r w:rsidR="00456BF7" w:rsidRPr="00552DCF">
              <w:t xml:space="preserve"> сборов и платежей</w:t>
            </w:r>
            <w:r w:rsidRPr="00552DC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014E" w:rsidRPr="00552DCF" w:rsidRDefault="0044014E" w:rsidP="00552DCF">
            <w:pPr>
              <w:pStyle w:val="Default"/>
              <w:spacing w:line="240" w:lineRule="atLeast"/>
            </w:pPr>
            <w:r w:rsidRPr="00552DCF">
              <w:t xml:space="preserve">куратор налогового расхода </w:t>
            </w:r>
          </w:p>
        </w:tc>
      </w:tr>
      <w:tr w:rsidR="0044014E" w:rsidRPr="00552DCF" w:rsidTr="000B5BDF">
        <w:trPr>
          <w:trHeight w:val="113"/>
          <w:tblCellSpacing w:w="15" w:type="dxa"/>
        </w:trPr>
        <w:tc>
          <w:tcPr>
            <w:tcW w:w="9234" w:type="dxa"/>
            <w:gridSpan w:val="3"/>
            <w:vAlign w:val="center"/>
            <w:hideMark/>
          </w:tcPr>
          <w:p w:rsidR="0044014E" w:rsidRPr="00552DCF" w:rsidRDefault="0044014E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 Целевые характеристики налогового расхода</w:t>
            </w:r>
          </w:p>
        </w:tc>
      </w:tr>
      <w:tr w:rsidR="00456BF7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93" w:type="dxa"/>
            <w:vAlign w:val="center"/>
            <w:hideMark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t xml:space="preserve">Целевая категория налоговых расходов </w:t>
            </w:r>
          </w:p>
        </w:tc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t>куратор налогового расхода</w:t>
            </w:r>
          </w:p>
        </w:tc>
      </w:tr>
      <w:tr w:rsidR="00456BF7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93" w:type="dxa"/>
            <w:vAlign w:val="center"/>
            <w:hideMark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t xml:space="preserve">Цели предоставления налоговых льгот, освобождений и иных преференций для плательщиков налогов, сборов, платежей </w:t>
            </w:r>
          </w:p>
        </w:tc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t>куратор налогового расхода</w:t>
            </w:r>
          </w:p>
        </w:tc>
      </w:tr>
      <w:tr w:rsidR="00456BF7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93" w:type="dxa"/>
            <w:vAlign w:val="center"/>
            <w:hideMark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t xml:space="preserve">Наименования муниципальной программы (непрограммного направления деятельности), в рамках которой реализуются цели предоставления налогового расхода </w:t>
            </w:r>
          </w:p>
        </w:tc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t>перечень налоговых расходов и данные куратора налогового  расхода</w:t>
            </w:r>
          </w:p>
        </w:tc>
      </w:tr>
      <w:tr w:rsidR="00456BF7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93" w:type="dxa"/>
            <w:vAlign w:val="center"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t xml:space="preserve">Наименования структурных элементов муниципальной программы, в рамках которых реализуются цели </w:t>
            </w:r>
            <w:r w:rsidRPr="00552DCF">
              <w:lastRenderedPageBreak/>
              <w:t xml:space="preserve">предоставления налогового расхода </w:t>
            </w:r>
          </w:p>
        </w:tc>
        <w:tc>
          <w:tcPr>
            <w:tcW w:w="0" w:type="auto"/>
            <w:vAlign w:val="center"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lastRenderedPageBreak/>
              <w:t>перечень налоговых расходов</w:t>
            </w:r>
          </w:p>
        </w:tc>
      </w:tr>
      <w:tr w:rsidR="00456BF7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293" w:type="dxa"/>
            <w:vAlign w:val="center"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t xml:space="preserve"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 </w:t>
            </w:r>
          </w:p>
        </w:tc>
        <w:tc>
          <w:tcPr>
            <w:tcW w:w="0" w:type="auto"/>
            <w:vAlign w:val="center"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t>куратор налогового расхода</w:t>
            </w:r>
          </w:p>
        </w:tc>
      </w:tr>
      <w:tr w:rsidR="00456BF7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93" w:type="dxa"/>
            <w:vAlign w:val="center"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t xml:space="preserve"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 </w:t>
            </w:r>
          </w:p>
        </w:tc>
        <w:tc>
          <w:tcPr>
            <w:tcW w:w="0" w:type="auto"/>
            <w:vAlign w:val="center"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t>куратор налогового расхода</w:t>
            </w:r>
          </w:p>
        </w:tc>
      </w:tr>
      <w:tr w:rsidR="00456BF7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93" w:type="dxa"/>
            <w:vAlign w:val="center"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 </w:t>
            </w:r>
          </w:p>
        </w:tc>
        <w:tc>
          <w:tcPr>
            <w:tcW w:w="0" w:type="auto"/>
            <w:vAlign w:val="center"/>
          </w:tcPr>
          <w:p w:rsidR="00456BF7" w:rsidRPr="00552DCF" w:rsidRDefault="00456BF7" w:rsidP="00552DCF">
            <w:pPr>
              <w:pStyle w:val="Default"/>
              <w:spacing w:line="240" w:lineRule="atLeast"/>
            </w:pPr>
            <w:r w:rsidRPr="00552DCF">
              <w:t>куратор налогового расхода</w:t>
            </w:r>
          </w:p>
        </w:tc>
      </w:tr>
      <w:tr w:rsidR="00456BF7" w:rsidRPr="00552DCF" w:rsidTr="000B5BDF">
        <w:trPr>
          <w:trHeight w:val="113"/>
          <w:tblCellSpacing w:w="15" w:type="dxa"/>
        </w:trPr>
        <w:tc>
          <w:tcPr>
            <w:tcW w:w="9234" w:type="dxa"/>
            <w:gridSpan w:val="3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III. Фискальные характеристики налогового расхода</w:t>
            </w:r>
          </w:p>
        </w:tc>
      </w:tr>
      <w:tr w:rsidR="00456BF7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93" w:type="dxa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главного администратора доходов, финансового органа </w:t>
            </w:r>
            <w:hyperlink r:id="rId7" w:anchor="2" w:history="1">
              <w:r w:rsidRPr="00552D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456BF7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93" w:type="dxa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финансового органа</w:t>
            </w:r>
          </w:p>
        </w:tc>
      </w:tr>
      <w:tr w:rsidR="00456BF7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93" w:type="dxa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  <w:hyperlink r:id="rId8" w:anchor="3" w:history="1">
              <w:r w:rsidRPr="00552D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456BF7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93" w:type="dxa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456BF7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93" w:type="dxa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объем налогов, сборов и платежа, задекларированных для уплаты получателями налоговых расходов, в бюджет </w:t>
            </w:r>
            <w:r w:rsidR="000B5BDF"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видам налогов, сборов и платежа (тыс. рублей)</w:t>
            </w:r>
          </w:p>
        </w:tc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456BF7" w:rsidRPr="00552DCF" w:rsidTr="00083CB2">
        <w:trPr>
          <w:trHeight w:val="113"/>
          <w:tblCellSpacing w:w="15" w:type="dxa"/>
        </w:trPr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93" w:type="dxa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0" w:type="auto"/>
            <w:vAlign w:val="center"/>
            <w:hideMark/>
          </w:tcPr>
          <w:p w:rsidR="00456BF7" w:rsidRPr="00552DCF" w:rsidRDefault="00456BF7" w:rsidP="00552DCF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0B5BDF" w:rsidRPr="00552DCF" w:rsidRDefault="000B5BDF" w:rsidP="00552DCF">
      <w:p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E6B" w:rsidRPr="00552DCF" w:rsidRDefault="00F73E6B" w:rsidP="00552DCF">
      <w:p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>*(1) расчет по приведенной формуле осуществляется в отношении налоговых расходов,</w:t>
      </w:r>
      <w:r w:rsidR="000B5BDF" w:rsidRP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которых определяется Ф</w:t>
      </w:r>
      <w:r w:rsidRP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инансовым о</w:t>
      </w:r>
      <w:r w:rsidR="000B5BDF" w:rsidRP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P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BDF" w:rsidRPr="00552DCF" w:rsidRDefault="00F73E6B" w:rsidP="00552DCF">
      <w:p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>*(2) В случаях и порядке, предусмотренных пунктом 1</w:t>
      </w:r>
      <w:r w:rsidR="000B5BDF" w:rsidRP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формирования перечня налоговых расходов </w:t>
      </w:r>
      <w:r w:rsidR="000B5BDF" w:rsidRPr="00552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«Александровский район» </w:t>
      </w:r>
    </w:p>
    <w:p w:rsidR="000B5BDF" w:rsidRPr="00552DCF" w:rsidRDefault="000B5BDF" w:rsidP="00552DCF">
      <w:p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оценки налоговых расходов муниципального  образования  «Александровский район»</w:t>
      </w:r>
    </w:p>
    <w:p w:rsidR="00F73E6B" w:rsidRPr="00552DCF" w:rsidRDefault="00F73E6B" w:rsidP="00552DCF">
      <w:pPr>
        <w:spacing w:after="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>*(3) Информация подлежит формированию и представлению в отношении налоговых расходов,</w:t>
      </w:r>
      <w:r w:rsidR="000B5BDF" w:rsidRP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которых определяется Ф</w:t>
      </w:r>
      <w:r w:rsidRP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инансовым </w:t>
      </w:r>
      <w:r w:rsidR="000B5BDF" w:rsidRP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Pr="00552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F47" w:rsidRPr="00552DCF" w:rsidRDefault="00D57F47" w:rsidP="00552DCF">
      <w:pPr>
        <w:spacing w:after="0" w:line="240" w:lineRule="atLeast"/>
      </w:pPr>
    </w:p>
    <w:sectPr w:rsidR="00D57F47" w:rsidRPr="00552DCF" w:rsidSect="00255F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1A9"/>
    <w:multiLevelType w:val="hybridMultilevel"/>
    <w:tmpl w:val="7E38B1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7271D5"/>
    <w:multiLevelType w:val="hybridMultilevel"/>
    <w:tmpl w:val="B5D43BFE"/>
    <w:lvl w:ilvl="0" w:tplc="93968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0573C"/>
    <w:multiLevelType w:val="hybridMultilevel"/>
    <w:tmpl w:val="A476EBF0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380852E7"/>
    <w:multiLevelType w:val="hybridMultilevel"/>
    <w:tmpl w:val="4ED48E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6222DF"/>
    <w:multiLevelType w:val="hybridMultilevel"/>
    <w:tmpl w:val="205A91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CCA7383"/>
    <w:multiLevelType w:val="hybridMultilevel"/>
    <w:tmpl w:val="564ADB50"/>
    <w:lvl w:ilvl="0" w:tplc="53A2013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5562A5"/>
    <w:multiLevelType w:val="hybridMultilevel"/>
    <w:tmpl w:val="3A3676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6B"/>
    <w:rsid w:val="00083CB2"/>
    <w:rsid w:val="000B5BDF"/>
    <w:rsid w:val="000D447E"/>
    <w:rsid w:val="000E641C"/>
    <w:rsid w:val="001F60AA"/>
    <w:rsid w:val="00221DF8"/>
    <w:rsid w:val="00223223"/>
    <w:rsid w:val="00255F2F"/>
    <w:rsid w:val="00332C01"/>
    <w:rsid w:val="00337619"/>
    <w:rsid w:val="003479B2"/>
    <w:rsid w:val="003C52F9"/>
    <w:rsid w:val="003E6834"/>
    <w:rsid w:val="0044014E"/>
    <w:rsid w:val="00456BF7"/>
    <w:rsid w:val="004610F0"/>
    <w:rsid w:val="004970BE"/>
    <w:rsid w:val="004A44E8"/>
    <w:rsid w:val="004A5185"/>
    <w:rsid w:val="004C6659"/>
    <w:rsid w:val="00506AD3"/>
    <w:rsid w:val="00533201"/>
    <w:rsid w:val="00552DCF"/>
    <w:rsid w:val="00636937"/>
    <w:rsid w:val="00643306"/>
    <w:rsid w:val="00676B72"/>
    <w:rsid w:val="006A07DF"/>
    <w:rsid w:val="006C3AED"/>
    <w:rsid w:val="006E6EAC"/>
    <w:rsid w:val="006F192A"/>
    <w:rsid w:val="00701780"/>
    <w:rsid w:val="0071675B"/>
    <w:rsid w:val="007D08E2"/>
    <w:rsid w:val="007F3BB3"/>
    <w:rsid w:val="009D6323"/>
    <w:rsid w:val="009F7F3F"/>
    <w:rsid w:val="00A13A89"/>
    <w:rsid w:val="00A23AD5"/>
    <w:rsid w:val="00A318F4"/>
    <w:rsid w:val="00A76C99"/>
    <w:rsid w:val="00AB7374"/>
    <w:rsid w:val="00AF4C50"/>
    <w:rsid w:val="00B16089"/>
    <w:rsid w:val="00B17951"/>
    <w:rsid w:val="00B82FFA"/>
    <w:rsid w:val="00BE1601"/>
    <w:rsid w:val="00C3159F"/>
    <w:rsid w:val="00CF5BD6"/>
    <w:rsid w:val="00D02C27"/>
    <w:rsid w:val="00D57F47"/>
    <w:rsid w:val="00DE5E24"/>
    <w:rsid w:val="00E26777"/>
    <w:rsid w:val="00F127F7"/>
    <w:rsid w:val="00F273CA"/>
    <w:rsid w:val="00F52D97"/>
    <w:rsid w:val="00F57FCC"/>
    <w:rsid w:val="00F73E6B"/>
    <w:rsid w:val="00F83178"/>
    <w:rsid w:val="00F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DF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79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7FCC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Placeholder Text"/>
    <w:basedOn w:val="a0"/>
    <w:uiPriority w:val="99"/>
    <w:semiHidden/>
    <w:rsid w:val="00F57FCC"/>
    <w:rPr>
      <w:color w:val="808080"/>
    </w:rPr>
  </w:style>
  <w:style w:type="paragraph" w:customStyle="1" w:styleId="Default">
    <w:name w:val="Default"/>
    <w:rsid w:val="0044014E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DF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79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7FCC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Placeholder Text"/>
    <w:basedOn w:val="a0"/>
    <w:uiPriority w:val="99"/>
    <w:semiHidden/>
    <w:rsid w:val="00F57FCC"/>
    <w:rPr>
      <w:color w:val="808080"/>
    </w:rPr>
  </w:style>
  <w:style w:type="paragraph" w:customStyle="1" w:styleId="Default">
    <w:name w:val="Default"/>
    <w:rsid w:val="0044014E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666296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566629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2019-07-01T03:53:00Z</cp:lastPrinted>
  <dcterms:created xsi:type="dcterms:W3CDTF">2019-07-01T04:36:00Z</dcterms:created>
  <dcterms:modified xsi:type="dcterms:W3CDTF">2019-07-01T04:36:00Z</dcterms:modified>
</cp:coreProperties>
</file>