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E0" w:rsidRPr="006C4194" w:rsidRDefault="00625BE0" w:rsidP="00625BE0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6C419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8C0030E" wp14:editId="694209EC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E0" w:rsidRPr="006C4194" w:rsidRDefault="00C55573" w:rsidP="00625BE0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  <w:r w:rsidR="00625BE0" w:rsidRPr="006C41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АЛЕКСАНДРОВСКОГО РАЙОНА</w:t>
      </w:r>
    </w:p>
    <w:p w:rsidR="00625BE0" w:rsidRPr="006C4194" w:rsidRDefault="00625BE0" w:rsidP="00625BE0">
      <w:pPr>
        <w:keepNext/>
        <w:spacing w:after="0" w:line="240" w:lineRule="auto"/>
        <w:ind w:left="426"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625BE0" w:rsidRPr="006C4194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6C4194" w:rsidRPr="006C4194" w:rsidTr="004C53AA">
        <w:tc>
          <w:tcPr>
            <w:tcW w:w="5070" w:type="dxa"/>
          </w:tcPr>
          <w:p w:rsidR="00625BE0" w:rsidRPr="006C4194" w:rsidRDefault="004C53AA" w:rsidP="004C53A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A58A5"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BE0"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110" w:type="dxa"/>
          </w:tcPr>
          <w:p w:rsidR="00625BE0" w:rsidRPr="006C4194" w:rsidRDefault="00625BE0" w:rsidP="00625BE0">
            <w:pPr>
              <w:keepNext/>
              <w:spacing w:after="0" w:line="240" w:lineRule="auto"/>
              <w:ind w:left="426" w:right="-108" w:firstLine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C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1526</w:t>
            </w: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25BE0" w:rsidRPr="006C4194" w:rsidTr="004C53AA">
        <w:tc>
          <w:tcPr>
            <w:tcW w:w="9180" w:type="dxa"/>
            <w:gridSpan w:val="2"/>
          </w:tcPr>
          <w:p w:rsidR="00625BE0" w:rsidRPr="006C4194" w:rsidRDefault="00625BE0" w:rsidP="00625BE0">
            <w:pPr>
              <w:spacing w:after="0" w:line="240" w:lineRule="auto"/>
              <w:ind w:left="42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25BE0" w:rsidRPr="006C4194" w:rsidRDefault="00625BE0" w:rsidP="00625BE0">
      <w:p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</w:tblGrid>
      <w:tr w:rsidR="00625BE0" w:rsidRPr="006C4194" w:rsidTr="00027814">
        <w:tc>
          <w:tcPr>
            <w:tcW w:w="5070" w:type="dxa"/>
          </w:tcPr>
          <w:p w:rsidR="00625BE0" w:rsidRPr="006C4194" w:rsidRDefault="00625BE0" w:rsidP="00625BE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системе оплаты труда руководителей, их заместителей и главных бухгалтеров муниципальных учреждений</w:t>
            </w:r>
            <w:r w:rsidR="00F21525"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625BE0" w:rsidRPr="006C4194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E0" w:rsidRPr="006C4194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Российской Федерации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Администрации Александровского района Томской области от 08.08.2012 № 303а «О системе оплаты труда руководителей, их заместителей и главных бухгалтеров областных государственных автономных, казенных и бюджетных учреждений»,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 системы оплаты труда 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руководителей, их заместителей и главных бухгалтеров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Александровском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25BE0" w:rsidRPr="006C4194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25BE0" w:rsidRPr="006C4194" w:rsidRDefault="00625BE0" w:rsidP="006C4194">
      <w:pPr>
        <w:pStyle w:val="ac"/>
        <w:numPr>
          <w:ilvl w:val="0"/>
          <w:numId w:val="17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="00A67228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525" w:rsidRPr="006C4194" w:rsidRDefault="00F21525" w:rsidP="006C4194">
      <w:pPr>
        <w:pStyle w:val="ac"/>
        <w:numPr>
          <w:ilvl w:val="0"/>
          <w:numId w:val="17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подразделениям Администрации Александровского района Томской области осуществлять контроль:</w:t>
      </w:r>
    </w:p>
    <w:p w:rsidR="00F21525" w:rsidRPr="006C4194" w:rsidRDefault="0082625C" w:rsidP="006C4194">
      <w:pPr>
        <w:pStyle w:val="ac"/>
        <w:numPr>
          <w:ilvl w:val="0"/>
          <w:numId w:val="18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своевременностью заключения, изменения, прекращения трудовых договоров с руководите</w:t>
      </w:r>
      <w:r w:rsidR="002E310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лями 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</w:t>
      </w:r>
      <w:r w:rsidR="002E310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="00F2152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учр</w:t>
      </w:r>
      <w:r w:rsidR="002E310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еждений;</w:t>
      </w:r>
    </w:p>
    <w:p w:rsidR="002E310E" w:rsidRPr="006C4194" w:rsidRDefault="002E310E" w:rsidP="006C4194">
      <w:pPr>
        <w:pStyle w:val="ac"/>
        <w:numPr>
          <w:ilvl w:val="0"/>
          <w:numId w:val="18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2625C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обоснованностью начисления заработной платы руководителям муниципальных автономных, казенных и бюджетных учреждений и соблюдением ими условий трудового договора.</w:t>
      </w:r>
    </w:p>
    <w:p w:rsidR="00625BE0" w:rsidRPr="006C4194" w:rsidRDefault="006C4194" w:rsidP="006C4194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Признать </w:t>
      </w:r>
      <w:r w:rsidR="00625BE0" w:rsidRPr="006C4194">
        <w:rPr>
          <w:rFonts w:ascii="Times New Roman" w:eastAsia="Times New Roman" w:hAnsi="Times New Roman" w:cs="Times New Roman"/>
          <w:sz w:val="24"/>
          <w:szCs w:val="20"/>
          <w:lang w:eastAsia="ru-RU"/>
        </w:rPr>
        <w:t>утратившим силу постановление Администрации Александровского района Томской области от 06.05.2010 № 327 «</w:t>
      </w:r>
      <w:r w:rsidR="00625BE0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системе оплаты труда руководителей, их заместителей и главных бухгалтеров муниципальных учреждений»</w:t>
      </w:r>
      <w:r w:rsidR="00625BE0" w:rsidRPr="006C419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25BE0" w:rsidRPr="006C4194" w:rsidRDefault="00625BE0" w:rsidP="006C4194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постановление вступает в силу </w:t>
      </w:r>
      <w:r w:rsidR="004C53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даты его официального опубликования (обнародования) и распространяется на правоотношения, возникшие </w:t>
      </w:r>
      <w:r w:rsidRPr="006C41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</w:t>
      </w:r>
      <w:r w:rsidR="00A03C8D" w:rsidRPr="006C41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01 января </w:t>
      </w:r>
      <w:r w:rsidRPr="006C4194">
        <w:rPr>
          <w:rFonts w:ascii="Times New Roman" w:eastAsia="Times New Roman" w:hAnsi="Times New Roman" w:cs="Times New Roman"/>
          <w:sz w:val="24"/>
          <w:szCs w:val="20"/>
          <w:lang w:eastAsia="ru-RU"/>
        </w:rPr>
        <w:t>201</w:t>
      </w:r>
      <w:r w:rsidR="00A03C8D" w:rsidRPr="006C4194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6C41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</w:p>
    <w:p w:rsidR="00625BE0" w:rsidRPr="006C4194" w:rsidRDefault="00625BE0" w:rsidP="006C4194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</w:t>
      </w:r>
      <w:r w:rsid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03C8D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Каримову О.В.</w:t>
      </w:r>
    </w:p>
    <w:p w:rsidR="00625BE0" w:rsidRPr="006C4194" w:rsidRDefault="00625BE0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94" w:rsidRPr="006C4194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94" w:rsidRPr="006C4194" w:rsidRDefault="006C4194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5"/>
        <w:gridCol w:w="4874"/>
      </w:tblGrid>
      <w:tr w:rsidR="006C4194" w:rsidRPr="006C4194" w:rsidTr="00625BE0">
        <w:trPr>
          <w:trHeight w:val="597"/>
        </w:trPr>
        <w:tc>
          <w:tcPr>
            <w:tcW w:w="4305" w:type="dxa"/>
          </w:tcPr>
          <w:p w:rsidR="00625BE0" w:rsidRPr="006C4194" w:rsidRDefault="00625BE0" w:rsidP="00625BE0">
            <w:pPr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</w:tc>
        <w:tc>
          <w:tcPr>
            <w:tcW w:w="4874" w:type="dxa"/>
          </w:tcPr>
          <w:p w:rsidR="00625BE0" w:rsidRPr="006C4194" w:rsidRDefault="00625BE0" w:rsidP="00625BE0">
            <w:pPr>
              <w:spacing w:after="0" w:line="240" w:lineRule="auto"/>
              <w:ind w:left="426" w:right="-108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Крылов</w:t>
            </w:r>
          </w:p>
        </w:tc>
      </w:tr>
    </w:tbl>
    <w:p w:rsidR="006C4194" w:rsidRPr="006C4194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94" w:rsidRPr="006C4194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94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Лоренц Е.В.</w:t>
      </w:r>
    </w:p>
    <w:p w:rsidR="00625BE0" w:rsidRPr="006C4194" w:rsidRDefault="006C4194" w:rsidP="006C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Бобрешева Л.Н.</w:t>
      </w:r>
      <w:r w:rsidR="00625BE0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625BE0" w:rsidRPr="006C4194" w:rsidRDefault="00C55573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Александровский РОО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СОШ № 1</w:t>
      </w:r>
      <w:r w:rsidR="00C55573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Александровское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культуры</w:t>
      </w:r>
      <w:r w:rsidR="007A58A5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и молодежной политики Администрации Александровского района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</w:t>
      </w:r>
      <w:r w:rsidR="007A58A5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</w:t>
      </w:r>
      <w:r w:rsidR="007A58A5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r w:rsidR="007A58A5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Александровского района</w:t>
      </w:r>
    </w:p>
    <w:p w:rsidR="00625BE0" w:rsidRPr="006C4194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6282" w:rsidRPr="006C4194" w:rsidRDefault="00676282" w:rsidP="00A67228">
      <w:pPr>
        <w:autoSpaceDE w:val="0"/>
        <w:autoSpaceDN w:val="0"/>
        <w:adjustRightInd w:val="0"/>
        <w:spacing w:after="0" w:line="240" w:lineRule="auto"/>
        <w:ind w:left="5387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676282" w:rsidRPr="006C4194" w:rsidRDefault="00676282" w:rsidP="00A67228">
      <w:pPr>
        <w:autoSpaceDE w:val="0"/>
        <w:autoSpaceDN w:val="0"/>
        <w:adjustRightInd w:val="0"/>
        <w:spacing w:after="0" w:line="240" w:lineRule="auto"/>
        <w:ind w:left="5387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Александровского </w:t>
      </w:r>
    </w:p>
    <w:p w:rsidR="00676282" w:rsidRPr="006C4194" w:rsidRDefault="00676282" w:rsidP="00A67228">
      <w:pPr>
        <w:autoSpaceDE w:val="0"/>
        <w:autoSpaceDN w:val="0"/>
        <w:adjustRightInd w:val="0"/>
        <w:spacing w:after="0" w:line="240" w:lineRule="auto"/>
        <w:ind w:left="5387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Томской области</w:t>
      </w:r>
    </w:p>
    <w:p w:rsidR="00676282" w:rsidRPr="006C4194" w:rsidRDefault="00676282" w:rsidP="00A67228">
      <w:pPr>
        <w:autoSpaceDE w:val="0"/>
        <w:autoSpaceDN w:val="0"/>
        <w:adjustRightInd w:val="0"/>
        <w:spacing w:after="0" w:line="240" w:lineRule="auto"/>
        <w:ind w:left="5387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17.12.2018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C53AA">
        <w:rPr>
          <w:rFonts w:ascii="Times New Roman" w:eastAsia="Times New Roman" w:hAnsi="Times New Roman" w:cs="Times New Roman"/>
          <w:sz w:val="24"/>
          <w:szCs w:val="24"/>
          <w:lang w:eastAsia="ru-RU"/>
        </w:rPr>
        <w:t>1526</w:t>
      </w:r>
    </w:p>
    <w:p w:rsidR="008A7B71" w:rsidRPr="006C4194" w:rsidRDefault="008A7B71" w:rsidP="008A7B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71" w:rsidRPr="006C4194" w:rsidRDefault="008A7B71" w:rsidP="008A7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8A7B71" w:rsidRPr="006C4194" w:rsidRDefault="00A67228" w:rsidP="008A7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</w:t>
      </w:r>
      <w:r w:rsidR="008A7B71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труда </w:t>
      </w:r>
      <w:r w:rsidR="008A7B71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руководителей, их заместителей и главных бухгалтеров муниципальных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автономных, казенных и бюджетных </w:t>
      </w:r>
      <w:r w:rsidR="008A7B71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8A7B71" w:rsidRPr="006C4194" w:rsidRDefault="008A7B71" w:rsidP="008A7B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71" w:rsidRPr="006C4194" w:rsidRDefault="008A7B71" w:rsidP="008A7B71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8A7B71" w:rsidRPr="006C4194" w:rsidRDefault="008A7B71" w:rsidP="008A7B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D70" w:rsidRPr="006C4194" w:rsidRDefault="002C6D70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систему оплаты труда руководителей, их заместителей и главных бухгалтеров муниципальных автономных, казенных и бюджетных учреждений района (далее по тексту настоящего Положения, когда оно относится к учреждениям всех трех типов одновременно - </w:t>
      </w:r>
      <w:r w:rsidR="0079424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чреждения), устанавливая </w:t>
      </w:r>
      <w:r w:rsidR="000F771A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них:</w:t>
      </w:r>
    </w:p>
    <w:p w:rsidR="002C6D70" w:rsidRPr="006C4194" w:rsidRDefault="00212297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C6D70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окладов; </w:t>
      </w:r>
    </w:p>
    <w:p w:rsidR="002C6D70" w:rsidRPr="006C4194" w:rsidRDefault="00212297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C6D70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компенсационных выплат; </w:t>
      </w:r>
    </w:p>
    <w:p w:rsidR="002C6D70" w:rsidRPr="006C4194" w:rsidRDefault="00212297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C6D70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основания выплаты и размеры стимулирующих выплат, в частности премий.</w:t>
      </w:r>
    </w:p>
    <w:p w:rsidR="002C6D70" w:rsidRPr="006C4194" w:rsidRDefault="002C6D70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Выплаты, указанные в подпунктах 2,3 пункта 1 настоящего Положения, и должностной оклад не образуют новый должностной оклад и не учитываются при исчислении иных компенсационных и стимулирующих выплат, за исключением исчисления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2C6D70" w:rsidRPr="006C4194" w:rsidRDefault="002C6D70" w:rsidP="002C6D7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Обеспечение расходов на выплату работникам, указанным в </w:t>
      </w:r>
      <w:hyperlink r:id="rId9" w:history="1">
        <w:r w:rsidRPr="006C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настоящего Положения</w:t>
        </w:r>
      </w:hyperlink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заработной платы (в том числе на премирование), материальной помощи, а также средней заработной платы (среднего заработка) во всех случаях ее выплаты, указанных в трудовом законодательстве, иных нормативных правовых актах, содержащих нормы трудового права, трудовом договоре (в том числе в случаях выплаты средней заработной платы (среднего заработка) после увольнения работника) осуществляется:</w:t>
      </w:r>
    </w:p>
    <w:p w:rsidR="002C6D70" w:rsidRPr="006C4194" w:rsidRDefault="002C6D70" w:rsidP="00571585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руководителям, </w:t>
      </w:r>
      <w:r w:rsidR="0079424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заместителям и главным бухгалтерам </w:t>
      </w:r>
      <w:r w:rsidR="00170A6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казенных учреждений</w:t>
      </w:r>
      <w:r w:rsidR="00170A6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счет бюджетных ассигнований учреждению, в том числе бюджетных ассигнований, доведенных учреждению, при условии фактического поступления в бюджет</w:t>
      </w:r>
      <w:r w:rsidR="00170A6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финансового года доходов от платных услуг, оказываемых </w:t>
      </w:r>
      <w:r w:rsidR="00170A6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казенными учреждениями</w:t>
      </w:r>
      <w:r w:rsidR="00170A6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AB8" w:rsidRPr="006C4194" w:rsidRDefault="002C6D70" w:rsidP="00BA0AB8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руководителям,</w:t>
      </w:r>
      <w:r w:rsidR="0079424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заместителям и главным бухгалтерам </w:t>
      </w:r>
      <w:r w:rsidR="00170A6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автономных и бюджетных учреждений </w:t>
      </w:r>
      <w:r w:rsidR="00170A6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бюджетных ассигнований учреждению и (или) средств учреждения от приносящей доход деятельности (при недостаточности средств учреждения от приносящей доход деятельности на указанные цели обеспечение расходов на премирование руководителя </w:t>
      </w:r>
      <w:r w:rsidR="00170A6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или бюджетного учреждения </w:t>
      </w:r>
      <w:r w:rsidR="00170A6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 установленных для бюджета</w:t>
      </w:r>
      <w:r w:rsidR="00571585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производится).</w:t>
      </w:r>
    </w:p>
    <w:p w:rsidR="00BA0AB8" w:rsidRPr="006C4194" w:rsidRDefault="00BA0AB8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 объем работы по совместительству каждого руководителя образовательного учреждения и его заместителя на педагогических должностях устанавливается Главой района по представлению </w:t>
      </w:r>
      <w:r w:rsidR="0007237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структурных подразделений Администрации Александровского района Томской области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585" w:rsidRPr="006C4194" w:rsidRDefault="00A97C6C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Оплата труда руководителей, их заместителей и главных бухгалтеров муниципальных учреждений не может быть меньше минимальной заработной платы установленной в Александровском районе Томской области.</w:t>
      </w:r>
    </w:p>
    <w:p w:rsidR="00571585" w:rsidRPr="006C4194" w:rsidRDefault="00571585" w:rsidP="00571585">
      <w:pPr>
        <w:pStyle w:val="ac"/>
        <w:numPr>
          <w:ilvl w:val="0"/>
          <w:numId w:val="7"/>
        </w:numPr>
        <w:tabs>
          <w:tab w:val="left" w:pos="851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оклады</w:t>
      </w:r>
    </w:p>
    <w:p w:rsidR="00571585" w:rsidRPr="006C4194" w:rsidRDefault="00571585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должностного оклада конкретного руководителя Учреждения</w:t>
      </w:r>
      <w:r w:rsidR="001654A4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соответствии с </w:t>
      </w:r>
      <w:r w:rsidR="00C578EA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таблицей</w:t>
      </w:r>
      <w:r w:rsidR="00F554A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1654A4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F554A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578EA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4A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654A4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F554A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654A4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Положению исходя из группы по оплате труда руководите</w:t>
      </w:r>
      <w:r w:rsidR="0079424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</w:t>
      </w:r>
      <w:r w:rsidR="001654A4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реждения, к</w:t>
      </w:r>
      <w:r w:rsidR="00C578EA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относит</w:t>
      </w:r>
      <w:r w:rsidR="001654A4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учреждение.</w:t>
      </w:r>
    </w:p>
    <w:p w:rsidR="001654A4" w:rsidRPr="006C4194" w:rsidRDefault="00794249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отнесения У</w:t>
      </w:r>
      <w:r w:rsidR="001654A4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 к группам по оплате труда руководителя учреждения определяются постановлением Администрации Александровского района Томской области.</w:t>
      </w:r>
    </w:p>
    <w:p w:rsidR="00170A6E" w:rsidRPr="006C4194" w:rsidRDefault="00571585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105DB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должностных окладов заместителей руководител</w:t>
      </w:r>
      <w:r w:rsidR="0079424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главного бухгалтера Уч</w:t>
      </w:r>
      <w:r w:rsidR="00105DB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устанавливаются на 10 – 30 % ниже должностного оклада руководителя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C87" w:rsidRPr="006C4194" w:rsidRDefault="008C1C87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заместителей руководителя и главного бухгалтера </w:t>
      </w:r>
      <w:r w:rsidR="0007237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руководителем которого является муниципальный служащий, устанавливаются на 10-30% ниже д</w:t>
      </w:r>
      <w:r w:rsidR="0014232E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олжностного оклада руководителя</w:t>
      </w:r>
      <w:r w:rsidR="004C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применения следующих повышающих коэффициентов:</w:t>
      </w:r>
    </w:p>
    <w:p w:rsidR="00BD7A2B" w:rsidRPr="006C4194" w:rsidRDefault="00BD7A2B" w:rsidP="00BD7A2B">
      <w:pPr>
        <w:pStyle w:val="ac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заместителя руководителя – коэффициент 2,31;</w:t>
      </w:r>
    </w:p>
    <w:p w:rsidR="00BD7A2B" w:rsidRPr="006C4194" w:rsidRDefault="00BD7A2B" w:rsidP="00BD7A2B">
      <w:pPr>
        <w:pStyle w:val="ac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главного бухгалтера – коэффициент 1,94.</w:t>
      </w:r>
    </w:p>
    <w:p w:rsidR="00BD7A2B" w:rsidRPr="006C4194" w:rsidRDefault="00BD7A2B" w:rsidP="00BD7A2B">
      <w:pPr>
        <w:pStyle w:val="ac"/>
        <w:tabs>
          <w:tab w:val="left" w:pos="851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97" w:rsidRPr="006C4194" w:rsidRDefault="00BD7A2B" w:rsidP="00BD7A2B">
      <w:pPr>
        <w:pStyle w:val="ac"/>
        <w:numPr>
          <w:ilvl w:val="0"/>
          <w:numId w:val="11"/>
        </w:num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Компенсационные выплат</w:t>
      </w:r>
    </w:p>
    <w:p w:rsidR="00BD7A2B" w:rsidRPr="006C4194" w:rsidRDefault="00BD7A2B" w:rsidP="00BD7A2B">
      <w:pPr>
        <w:tabs>
          <w:tab w:val="left" w:pos="851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97" w:rsidRPr="006C4194" w:rsidRDefault="00E86797" w:rsidP="00072379">
      <w:pPr>
        <w:pStyle w:val="ac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условий труда руководителю Учреждения, его заместителям и главному бухгалтеру  устанавливаются следующие компенсационные выплаты:</w:t>
      </w:r>
    </w:p>
    <w:p w:rsidR="00E86797" w:rsidRPr="006C4194" w:rsidRDefault="00E86797" w:rsidP="0014232E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местностям);</w:t>
      </w:r>
    </w:p>
    <w:p w:rsidR="00BA0AB8" w:rsidRPr="006C4194" w:rsidRDefault="00E86797" w:rsidP="00BA0AB8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работникам, занятым на работах с вредными и (или) опасными условиями труда;</w:t>
      </w:r>
    </w:p>
    <w:p w:rsidR="00BA0AB8" w:rsidRPr="006C4194" w:rsidRDefault="00A97C6C" w:rsidP="00BA0AB8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совмещение профессий (должностей);</w:t>
      </w:r>
    </w:p>
    <w:p w:rsidR="00A97C6C" w:rsidRPr="006C4194" w:rsidRDefault="00A97C6C" w:rsidP="00BA0AB8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E86797" w:rsidRPr="006C4194" w:rsidRDefault="00E86797" w:rsidP="00E86797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выплаты, предусмотренные федеральными нормативными правовыми актами.</w:t>
      </w:r>
    </w:p>
    <w:p w:rsidR="00E86797" w:rsidRPr="006C4194" w:rsidRDefault="00E86797" w:rsidP="00072379">
      <w:pPr>
        <w:pStyle w:val="ac"/>
        <w:numPr>
          <w:ilvl w:val="0"/>
          <w:numId w:val="20"/>
        </w:numPr>
        <w:tabs>
          <w:tab w:val="left" w:pos="567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выплаты работникам, занятым на работах с вредными и (или) опасными условиями труда, в размере не более 5% оклада (должностного оклада) работника в зависимости от класса (подкласса) условий труда по результатам специальной оценки условий труда, если иной размер указанной выплаты не должен быть установлен трудовым законодательством и иными нормативными правовыми актами, содержащими нормы трудового права.</w:t>
      </w:r>
    </w:p>
    <w:p w:rsidR="00E86797" w:rsidRPr="006C4194" w:rsidRDefault="00E86797" w:rsidP="00E86797">
      <w:pPr>
        <w:pStyle w:val="ac"/>
        <w:spacing w:after="0" w:line="240" w:lineRule="atLeast"/>
        <w:ind w:left="128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97" w:rsidRPr="006C4194" w:rsidRDefault="00E86797" w:rsidP="005B7F60">
      <w:pPr>
        <w:pStyle w:val="ac"/>
        <w:numPr>
          <w:ilvl w:val="0"/>
          <w:numId w:val="11"/>
        </w:num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выплаты</w:t>
      </w:r>
    </w:p>
    <w:p w:rsidR="00E86797" w:rsidRPr="006C4194" w:rsidRDefault="00E86797" w:rsidP="00E86797">
      <w:pPr>
        <w:pStyle w:val="ac"/>
        <w:spacing w:after="0" w:line="240" w:lineRule="atLeast"/>
        <w:ind w:left="128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A0" w:rsidRPr="006C4194" w:rsidRDefault="00D14CA0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выплатам стимулирующего характера относятся:</w:t>
      </w:r>
    </w:p>
    <w:p w:rsidR="00D14CA0" w:rsidRPr="006C4194" w:rsidRDefault="00D14CA0" w:rsidP="00D14CA0">
      <w:pPr>
        <w:pStyle w:val="ac"/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по итогам работы;</w:t>
      </w:r>
    </w:p>
    <w:p w:rsidR="00D14CA0" w:rsidRPr="006C4194" w:rsidRDefault="00D14CA0" w:rsidP="00D14CA0">
      <w:pPr>
        <w:pStyle w:val="ac"/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премия в связи с особо значимыми событиями.</w:t>
      </w:r>
    </w:p>
    <w:p w:rsidR="001C0A62" w:rsidRPr="006C4194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премий руководителю Учреждения по итогам работы производится исходя из годового размера, указанного в таблице 2 приложений № 1</w:t>
      </w:r>
      <w:r w:rsidR="00F554A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№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 настоящему Положению, без учета начислений страховых взносов в государственные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внебюджетные фонды и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местностях.</w:t>
      </w:r>
    </w:p>
    <w:p w:rsidR="001C0A62" w:rsidRPr="006C4194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выплачиваемой руководителю Учреждения премии по итогам работы за период 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предусмотренных трудовым договором с руководителем учреждения (далее - показатели и критерии оценки эффективности деятельности).</w:t>
      </w:r>
    </w:p>
    <w:p w:rsidR="001C0A62" w:rsidRPr="006C4194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выплачиваемой руководителю учреждения премии по итогам работы за период времени не может превышать размера, установленного для соответствующего периода времени таблицей 3 приложений № 1</w:t>
      </w:r>
      <w:r w:rsidR="00F554A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78EA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4A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Положению.</w:t>
      </w:r>
    </w:p>
    <w:p w:rsidR="001C0A62" w:rsidRPr="006C4194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достигнутого Учреждением результата выполнения показателей и критериев оценки эффективности деятельности и определение размера премии по итогам работы осуществляются комиссией по оценке выполнения показателей и критериев оценки эффективности деятельности, формируемой Администрацией Александровского района Томской области, с составлением соответствующего заключения, подписываемого членами комиссии.</w:t>
      </w:r>
    </w:p>
    <w:p w:rsidR="001C0A62" w:rsidRPr="006C4194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критерии оценки эффективности деятельности, условия премирования и депремирования руководителей Учреждений; полномочия комиссии по оценке выполнения показателей и критериев оценки эффективности деятельности; формы, сроки и порядок представления Учреждениями отчетности о выполнении указанных показателей и критериев оценки эффективности деятельности определяются постановлением Администрации Александровского района Томской области.</w:t>
      </w:r>
    </w:p>
    <w:p w:rsidR="001C0A62" w:rsidRPr="006C4194" w:rsidRDefault="001C0A62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Учреждения имеет право присутствовать на заседаниях комиссии, указанной в пункте 1</w:t>
      </w:r>
      <w:r w:rsidR="0007237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 давать необходимые пояснения.</w:t>
      </w:r>
    </w:p>
    <w:p w:rsidR="001C0A62" w:rsidRPr="006C4194" w:rsidRDefault="001C0A62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заключения, указанного в пункте 1</w:t>
      </w:r>
      <w:r w:rsidR="0007237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4B0F3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Александровского района Томской области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издает распо</w:t>
      </w:r>
      <w:r w:rsidR="004B0F3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ряжение о выплате руководителю У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премии по итогам работы.</w:t>
      </w:r>
    </w:p>
    <w:p w:rsidR="001C0A62" w:rsidRPr="006C4194" w:rsidRDefault="001C0A62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распоряжения, указанного в пункте 1</w:t>
      </w:r>
      <w:r w:rsidR="00072379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4B0F3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Положения, издается приказ У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о выплате руководителю учреждения премии по итогам работы.</w:t>
      </w:r>
    </w:p>
    <w:p w:rsidR="001C0A62" w:rsidRPr="006C4194" w:rsidRDefault="001C0A62" w:rsidP="001C0A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Неиспользованные средства годового премиального фонда руководителя учреждения, указанного в таблице 2 приложений № 1 </w:t>
      </w:r>
      <w:r w:rsidR="00F554A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,№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Положению, предусмотренные для отдельного периода для начисления премии по итогам работы таблицей 3 указанных приложений к настоящему Положению, могут быть направлены на выплаты стимулирующего характера работникам учреждения, за исключением заместителей руко</w:t>
      </w:r>
      <w:r w:rsidR="004B0F33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и главного бухгалтера У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4B0F33" w:rsidRPr="006C4194" w:rsidRDefault="004B0F33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Руководителям Учреждений выплачивается единовременная премия в связи с особо значимыми событиями в следующих случаях:</w:t>
      </w:r>
    </w:p>
    <w:p w:rsidR="004B0F33" w:rsidRPr="006C4194" w:rsidRDefault="004B0F33" w:rsidP="004B0F3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объявлении благодарности или награждении почетной грамотой;</w:t>
      </w:r>
    </w:p>
    <w:p w:rsidR="004B0F33" w:rsidRPr="006C4194" w:rsidRDefault="004B0F33" w:rsidP="004B0F3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государственными или профессиональными праздниками, знаменательными датами;</w:t>
      </w:r>
    </w:p>
    <w:p w:rsidR="004B0F33" w:rsidRPr="006C4194" w:rsidRDefault="004B0F33" w:rsidP="004B0F3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юбилейными датами их рождения (50,55,60 лет).</w:t>
      </w:r>
    </w:p>
    <w:p w:rsidR="004B0F33" w:rsidRPr="006C4194" w:rsidRDefault="004B0F33" w:rsidP="004B0F33">
      <w:pPr>
        <w:pStyle w:val="ac"/>
        <w:tabs>
          <w:tab w:val="left" w:pos="993"/>
        </w:tabs>
        <w:spacing w:after="0" w:line="240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премия в связи с особо значимыми событиями выплачивается при наличии экономии по фонду оплаты труда руководителей и не может превышать должностного оклада руководителя в каждом указанном случае в календарный год.</w:t>
      </w:r>
    </w:p>
    <w:p w:rsidR="004B0F33" w:rsidRPr="006C4194" w:rsidRDefault="004B0F33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премия в связи с особо значимыми событиями выплачивается на основании распоряжения Администрации Александровского района Томской области.</w:t>
      </w:r>
    </w:p>
    <w:p w:rsidR="00A97C6C" w:rsidRPr="006C4194" w:rsidRDefault="00BA0AB8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образовательного учреждения, одновременно выполняющий работу по педагогической должности, имеет право на стимулирующие выплаты в соответствии с положением о стимулирующих выплатах, действующем в данном образовательном учреждении.</w:t>
      </w:r>
    </w:p>
    <w:p w:rsidR="00D14CA0" w:rsidRPr="006C4194" w:rsidRDefault="00D14CA0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 руководителей и главным бухгалтерам учреждений выплачиваются: ежемесячная премия по итогам работы за календарный месяц; единовременная премия за выполнение особо важных и срочных работ; единовременная премия в связи с особо значимыми событиями.</w:t>
      </w:r>
    </w:p>
    <w:p w:rsidR="00D14CA0" w:rsidRPr="006C4194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указанных премий, выплаченных Учреждением заместителю руководителя, главному бухгалтеру Учреждения в течение финансового года, не может превышать </w:t>
      </w:r>
      <w:r w:rsidR="000F771A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80 % максимального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0F771A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премиального фонда руководителя Учреждения утвержденного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0F771A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0F771A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CA0" w:rsidRPr="006C4194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выплаты премии по итогам работы за календарный месяц и ее размеры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D14CA0" w:rsidRPr="006C4194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оснований для выплаты ежемесячной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деятельности.</w:t>
      </w:r>
    </w:p>
    <w:p w:rsidR="00D14CA0" w:rsidRPr="006C4194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ежемесячной премии по итогам работы за календарный месяц должны устанавливаться в зависимости от объема выполнения Учреждением показателей и критериев оценки эффективности деятельности.</w:t>
      </w:r>
    </w:p>
    <w:p w:rsidR="00D14CA0" w:rsidRPr="006C4194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могут предусматриваться основания для лишения заместителей руководителя и главного бухгалтера Учреждения премии по итогам работы за календарный месяц или уменьшения ее размера.</w:t>
      </w:r>
    </w:p>
    <w:p w:rsidR="00D14CA0" w:rsidRPr="006C4194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размера выплачиваемой заместителю руководителя и главному бухгалтеру Учреждения премии за выполнение особо важных и срочных работ должны учитываться следующие основания:</w:t>
      </w:r>
    </w:p>
    <w:p w:rsidR="00D14CA0" w:rsidRPr="006C4194" w:rsidRDefault="00D14CA0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важности выполненной работы;</w:t>
      </w:r>
    </w:p>
    <w:p w:rsidR="00D14CA0" w:rsidRPr="006C4194" w:rsidRDefault="00D14CA0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результата выполненной работы;</w:t>
      </w:r>
    </w:p>
    <w:p w:rsidR="00D14CA0" w:rsidRPr="006C4194" w:rsidRDefault="00D14CA0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 выполнения работы;</w:t>
      </w:r>
    </w:p>
    <w:p w:rsidR="00D14CA0" w:rsidRPr="006C4194" w:rsidRDefault="00D14CA0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труда при выполнении работы.</w:t>
      </w:r>
    </w:p>
    <w:p w:rsidR="00D14CA0" w:rsidRPr="006C4194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вышеуказанные основания могут конкретизироваться в зависимости от специфики деятельности Учреждения и/или работника.</w:t>
      </w:r>
    </w:p>
    <w:p w:rsidR="00D14CA0" w:rsidRPr="006C4194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единовременной премии за выполнение особо важных и срочных работ предельным размером не ограничивается, если локальным нормативным актом Учреждения, принимаемым учреждением с учетом мнения представительного органа работников, или коллективным договором не установлены определенные размеры указанной премии в зависимости от наличия определенных оснований для ее выплаты.</w:t>
      </w:r>
    </w:p>
    <w:p w:rsidR="00D14CA0" w:rsidRPr="006C4194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случаях:</w:t>
      </w:r>
    </w:p>
    <w:p w:rsidR="00D14CA0" w:rsidRPr="006C4194" w:rsidRDefault="00D14CA0" w:rsidP="00354A65">
      <w:pPr>
        <w:pStyle w:val="ac"/>
        <w:numPr>
          <w:ilvl w:val="0"/>
          <w:numId w:val="19"/>
        </w:num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объявлении благодарности или награждении почетной грамотой;</w:t>
      </w:r>
    </w:p>
    <w:p w:rsidR="00D14CA0" w:rsidRPr="006C4194" w:rsidRDefault="00D14CA0" w:rsidP="00354A65">
      <w:pPr>
        <w:pStyle w:val="ac"/>
        <w:numPr>
          <w:ilvl w:val="0"/>
          <w:numId w:val="19"/>
        </w:num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государственными или профессиональными праздниками, знаменательными датами;</w:t>
      </w:r>
    </w:p>
    <w:p w:rsidR="00D14CA0" w:rsidRPr="006C4194" w:rsidRDefault="00D14CA0" w:rsidP="00354A65">
      <w:pPr>
        <w:pStyle w:val="ac"/>
        <w:numPr>
          <w:ilvl w:val="0"/>
          <w:numId w:val="19"/>
        </w:num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юбилейными датами их рождения (50, 55,60 лет).</w:t>
      </w:r>
    </w:p>
    <w:p w:rsidR="00D14CA0" w:rsidRPr="006C4194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Единовременная премия в связи с особо значимыми событиями выплачивается при наличии экономии по фонду оплаты труда и не может превышать размера должностн</w:t>
      </w:r>
      <w:r w:rsidR="008C1C87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</w:t>
      </w:r>
      <w:r w:rsidR="008C1C87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рук</w:t>
      </w:r>
      <w:r w:rsidR="008C1C87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оводителя, главного бухгалтера У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в каждом указанном случае,</w:t>
      </w:r>
    </w:p>
    <w:p w:rsidR="008C1C87" w:rsidRPr="006C4194" w:rsidRDefault="008C1C87" w:rsidP="00072379">
      <w:pPr>
        <w:pStyle w:val="ac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помощь.</w:t>
      </w:r>
    </w:p>
    <w:p w:rsidR="008C1C87" w:rsidRPr="006C4194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фонда оплаты труда работников Учреждений руководителю учреждения, его заместителям и главному бухгалтеру по их письменному заявлению может оказываться материальная помощь, с тем, чтобы общая сумма выплаченной в течение календарного года материальной помощи не превышала двух должностных окладов работника, которому она выплачивается.</w:t>
      </w:r>
    </w:p>
    <w:p w:rsidR="008C1C87" w:rsidRPr="006C4194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основания оказания материальной помощи указанным работникам, а также ее допустимые размеры применительно к отдельным основаниям ее оказания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8C1C87" w:rsidRPr="006C4194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оказании материальной помощи и ее конкретных размерах принимает:</w:t>
      </w:r>
    </w:p>
    <w:p w:rsidR="008C1C87" w:rsidRPr="006C4194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руководителя учреждения – Администрация Александровского района Томской области;</w:t>
      </w:r>
    </w:p>
    <w:p w:rsidR="008C1C87" w:rsidRPr="006C4194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заместителя руководителя и главного бухгалтера Учреждения - руководитель учреждения.</w:t>
      </w:r>
    </w:p>
    <w:p w:rsidR="008C1C87" w:rsidRPr="006C4194" w:rsidRDefault="008C1C87" w:rsidP="00072379">
      <w:pPr>
        <w:pStyle w:val="ac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не является составной частью заработной платы руководителей, их заместителей и главных бухгалтеров учреждений.</w:t>
      </w:r>
    </w:p>
    <w:p w:rsidR="00BD7A2B" w:rsidRPr="006C4194" w:rsidRDefault="00BD7A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6282" w:rsidRPr="006C4194" w:rsidRDefault="00676282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D93627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D14CA0" w:rsidRDefault="00676282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A67228" w:rsidRPr="006C4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Положению 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4C53AA" w:rsidRDefault="004C53AA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3AA" w:rsidRPr="006C4194" w:rsidRDefault="004C53AA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82" w:rsidRPr="006C4194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676282" w:rsidRPr="006C4194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образовательных учреждений Александровского района Томской области</w:t>
      </w:r>
    </w:p>
    <w:p w:rsidR="00676282" w:rsidRPr="006C4194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82" w:rsidRPr="006C4194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Размера должностных окладов руководителей муниципальных автономных, казенных и бюджетных учреждений</w:t>
      </w:r>
    </w:p>
    <w:p w:rsidR="00676282" w:rsidRPr="006C4194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6C4194" w:rsidRPr="006C4194" w:rsidTr="00F57737">
        <w:tc>
          <w:tcPr>
            <w:tcW w:w="4622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  <w:tc>
          <w:tcPr>
            <w:tcW w:w="4665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6C4194" w:rsidRPr="006C4194" w:rsidTr="00F57737">
        <w:tc>
          <w:tcPr>
            <w:tcW w:w="4622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665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</w:t>
            </w:r>
          </w:p>
        </w:tc>
      </w:tr>
      <w:tr w:rsidR="006C4194" w:rsidRPr="006C4194" w:rsidTr="00F57737">
        <w:tc>
          <w:tcPr>
            <w:tcW w:w="4622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665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12655</w:t>
            </w:r>
          </w:p>
        </w:tc>
      </w:tr>
      <w:tr w:rsidR="006C4194" w:rsidRPr="006C4194" w:rsidTr="00F57737">
        <w:tc>
          <w:tcPr>
            <w:tcW w:w="4622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665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11260</w:t>
            </w:r>
          </w:p>
        </w:tc>
      </w:tr>
      <w:tr w:rsidR="006C4194" w:rsidRPr="006C4194" w:rsidTr="00F57737">
        <w:tc>
          <w:tcPr>
            <w:tcW w:w="4622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665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9867</w:t>
            </w:r>
          </w:p>
        </w:tc>
      </w:tr>
      <w:tr w:rsidR="00676282" w:rsidRPr="006C4194" w:rsidTr="00F57737">
        <w:tc>
          <w:tcPr>
            <w:tcW w:w="4622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665" w:type="dxa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8473</w:t>
            </w:r>
          </w:p>
        </w:tc>
      </w:tr>
    </w:tbl>
    <w:p w:rsidR="00676282" w:rsidRPr="006C4194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82" w:rsidRPr="006C4194" w:rsidRDefault="00676282" w:rsidP="006762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  <w:r w:rsidRPr="006C4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676282" w:rsidRPr="006C4194" w:rsidRDefault="00676282" w:rsidP="0067628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6C4194" w:rsidRPr="006C4194" w:rsidTr="00F554A3">
        <w:trPr>
          <w:tblHeader/>
        </w:trPr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67228"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67228"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676282" w:rsidRPr="006C4194" w:rsidRDefault="00676282" w:rsidP="000061A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8" w:type="dxa"/>
            <w:shd w:val="clear" w:color="auto" w:fill="auto"/>
          </w:tcPr>
          <w:p w:rsidR="00676282" w:rsidRPr="006C4194" w:rsidRDefault="00D93627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76282"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одовой премиальный фонд </w:t>
            </w: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76282"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510,7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398,9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общеобразовательного учреждения «Основная общеобразовательная школа п. Октябрьский»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«Начальная общеобразовательная школа д. Ларино» 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«Малышок»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«Ягодка»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дошкольного образовательное учреждение «Центр развития ребенка - Детский сад </w:t>
            </w: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«Теремок»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246,7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«Алёнушка»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«Теремок»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«Родничок»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</w:tr>
      <w:tr w:rsidR="006C4194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</w:tc>
      </w:tr>
      <w:tr w:rsidR="00676282" w:rsidRPr="006C4194" w:rsidTr="00F554A3">
        <w:tc>
          <w:tcPr>
            <w:tcW w:w="811" w:type="dxa"/>
            <w:shd w:val="clear" w:color="auto" w:fill="auto"/>
            <w:vAlign w:val="center"/>
          </w:tcPr>
          <w:p w:rsidR="00676282" w:rsidRPr="006C4194" w:rsidRDefault="00676282" w:rsidP="00F554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33" w:type="dxa"/>
            <w:shd w:val="clear" w:color="auto" w:fill="auto"/>
          </w:tcPr>
          <w:p w:rsidR="00676282" w:rsidRPr="006C4194" w:rsidRDefault="00676282" w:rsidP="006762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676282" w:rsidRPr="006C4194" w:rsidRDefault="00F50DCE" w:rsidP="00D9362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</w:tc>
      </w:tr>
    </w:tbl>
    <w:p w:rsidR="00676282" w:rsidRPr="006C4194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27" w:rsidRPr="006C4194" w:rsidRDefault="00D93627" w:rsidP="00D93627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9121" w:type="dxa"/>
        <w:tblInd w:w="108" w:type="dxa"/>
        <w:tblLook w:val="04A0" w:firstRow="1" w:lastRow="0" w:firstColumn="1" w:lastColumn="0" w:noHBand="0" w:noVBand="1"/>
      </w:tblPr>
      <w:tblGrid>
        <w:gridCol w:w="4478"/>
        <w:gridCol w:w="4643"/>
      </w:tblGrid>
      <w:tr w:rsidR="006C4194" w:rsidRPr="006C4194" w:rsidTr="00C578EA">
        <w:tc>
          <w:tcPr>
            <w:tcW w:w="4478" w:type="dxa"/>
            <w:vAlign w:val="center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 (%)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6C4194" w:rsidTr="00C578EA">
        <w:tc>
          <w:tcPr>
            <w:tcW w:w="4478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643" w:type="dxa"/>
          </w:tcPr>
          <w:p w:rsidR="00C578EA" w:rsidRPr="006C4194" w:rsidRDefault="00C578EA" w:rsidP="00E65E3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</w:tbl>
    <w:p w:rsidR="00C578EA" w:rsidRPr="006C4194" w:rsidRDefault="00C578EA" w:rsidP="00D93627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78EA" w:rsidRPr="006C4194" w:rsidRDefault="00C578EA" w:rsidP="00D93627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78EA" w:rsidRPr="006C4194" w:rsidRDefault="00C578EA" w:rsidP="00D93627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78EA" w:rsidRPr="006C4194" w:rsidRDefault="00C578EA" w:rsidP="00D93627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71A" w:rsidRPr="006C4194" w:rsidRDefault="000F77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7BC7" w:rsidRPr="006C4194" w:rsidRDefault="00797BC7" w:rsidP="00797BC7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97BC7" w:rsidRPr="006C4194" w:rsidRDefault="00797BC7" w:rsidP="00797BC7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</w:t>
      </w:r>
      <w:r w:rsidR="00A67228"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797BC7" w:rsidRPr="006C4194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C7" w:rsidRPr="006C4194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797BC7" w:rsidRPr="006C4194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культуры Александровского района Томской области</w:t>
      </w:r>
    </w:p>
    <w:p w:rsidR="00797BC7" w:rsidRPr="006C4194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C7" w:rsidRPr="006C4194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Размера должностных окладов руководителей муниципальных автономных, казенных и бюджетных учреждений</w:t>
      </w:r>
    </w:p>
    <w:p w:rsidR="00797BC7" w:rsidRPr="006C4194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564"/>
      </w:tblGrid>
      <w:tr w:rsidR="006C4194" w:rsidRPr="006C4194" w:rsidTr="000878B4">
        <w:tc>
          <w:tcPr>
            <w:tcW w:w="7508" w:type="dxa"/>
            <w:vAlign w:val="center"/>
          </w:tcPr>
          <w:p w:rsidR="00797BC7" w:rsidRPr="006C4194" w:rsidRDefault="00A03C8D" w:rsidP="00F554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64" w:type="dxa"/>
          </w:tcPr>
          <w:p w:rsidR="00797BC7" w:rsidRPr="006C4194" w:rsidRDefault="00797BC7" w:rsidP="00F5773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6C4194" w:rsidRPr="006C4194" w:rsidTr="000878B4">
        <w:tc>
          <w:tcPr>
            <w:tcW w:w="7508" w:type="dxa"/>
          </w:tcPr>
          <w:p w:rsidR="0082625C" w:rsidRPr="006C4194" w:rsidRDefault="0082625C" w:rsidP="0002781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1564" w:type="dxa"/>
            <w:vAlign w:val="center"/>
          </w:tcPr>
          <w:p w:rsidR="0082625C" w:rsidRPr="006C4194" w:rsidRDefault="0082625C" w:rsidP="000278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</w:t>
            </w:r>
          </w:p>
        </w:tc>
      </w:tr>
      <w:tr w:rsidR="006C4194" w:rsidRPr="006C4194" w:rsidTr="000878B4">
        <w:tc>
          <w:tcPr>
            <w:tcW w:w="7508" w:type="dxa"/>
          </w:tcPr>
          <w:p w:rsidR="0082625C" w:rsidRPr="006C4194" w:rsidRDefault="0082625C" w:rsidP="0002781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 – спортивный комплекс»</w:t>
            </w:r>
          </w:p>
        </w:tc>
        <w:tc>
          <w:tcPr>
            <w:tcW w:w="1564" w:type="dxa"/>
            <w:vAlign w:val="center"/>
          </w:tcPr>
          <w:p w:rsidR="0082625C" w:rsidRPr="006C4194" w:rsidRDefault="0082625C" w:rsidP="000278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9497</w:t>
            </w:r>
          </w:p>
        </w:tc>
      </w:tr>
      <w:tr w:rsidR="006C4194" w:rsidRPr="006C4194" w:rsidTr="000878B4">
        <w:tc>
          <w:tcPr>
            <w:tcW w:w="7508" w:type="dxa"/>
          </w:tcPr>
          <w:p w:rsidR="0082625C" w:rsidRPr="006C4194" w:rsidRDefault="0082625C" w:rsidP="0002781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564" w:type="dxa"/>
            <w:vAlign w:val="center"/>
          </w:tcPr>
          <w:p w:rsidR="0082625C" w:rsidRPr="006C4194" w:rsidRDefault="0082625C" w:rsidP="0002781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9497</w:t>
            </w:r>
          </w:p>
        </w:tc>
      </w:tr>
    </w:tbl>
    <w:p w:rsidR="00797BC7" w:rsidRPr="006C4194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C7" w:rsidRPr="006C4194" w:rsidRDefault="00797BC7" w:rsidP="00797BC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  <w:r w:rsidRPr="006C4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4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797BC7" w:rsidRPr="006C4194" w:rsidRDefault="00797BC7" w:rsidP="00797BC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1630"/>
        <w:gridCol w:w="2126"/>
      </w:tblGrid>
      <w:tr w:rsidR="006C4194" w:rsidRPr="006C4194" w:rsidTr="000878B4">
        <w:trPr>
          <w:tblHeader/>
        </w:trPr>
        <w:tc>
          <w:tcPr>
            <w:tcW w:w="5316" w:type="dxa"/>
            <w:shd w:val="clear" w:color="auto" w:fill="auto"/>
            <w:vAlign w:val="center"/>
          </w:tcPr>
          <w:p w:rsidR="00A03C8D" w:rsidRPr="006C4194" w:rsidRDefault="00A03C8D" w:rsidP="00F554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03C8D" w:rsidRPr="006C4194" w:rsidRDefault="00A03C8D" w:rsidP="00F554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</w:t>
            </w:r>
          </w:p>
          <w:p w:rsidR="00A03C8D" w:rsidRPr="006C4194" w:rsidRDefault="00A03C8D" w:rsidP="00F554A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A03C8D" w:rsidRPr="006C4194" w:rsidRDefault="00A67228" w:rsidP="00A03C8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годового премиального фонда в рамках реализации плана мероприятий («дорожной карты») /тыс. руб./</w:t>
            </w:r>
          </w:p>
        </w:tc>
      </w:tr>
      <w:tr w:rsidR="006C4194" w:rsidRPr="006C4194" w:rsidTr="000878B4">
        <w:tc>
          <w:tcPr>
            <w:tcW w:w="5316" w:type="dxa"/>
            <w:shd w:val="clear" w:color="auto" w:fill="auto"/>
          </w:tcPr>
          <w:p w:rsidR="00A03C8D" w:rsidRPr="006C4194" w:rsidRDefault="00A03C8D" w:rsidP="0002781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03C8D" w:rsidRPr="006C4194" w:rsidRDefault="00A03C8D" w:rsidP="00A03C8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</w:t>
            </w:r>
          </w:p>
        </w:tc>
        <w:tc>
          <w:tcPr>
            <w:tcW w:w="2126" w:type="dxa"/>
            <w:vAlign w:val="center"/>
          </w:tcPr>
          <w:p w:rsidR="00A03C8D" w:rsidRPr="006C4194" w:rsidRDefault="00A03C8D" w:rsidP="00A03C8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94" w:rsidRPr="006C4194" w:rsidTr="000878B4">
        <w:tc>
          <w:tcPr>
            <w:tcW w:w="5316" w:type="dxa"/>
            <w:shd w:val="clear" w:color="auto" w:fill="auto"/>
          </w:tcPr>
          <w:p w:rsidR="00A03C8D" w:rsidRPr="006C4194" w:rsidRDefault="00A03C8D" w:rsidP="0002781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 – спортивный комплекс»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03C8D" w:rsidRPr="006C4194" w:rsidRDefault="00A03C8D" w:rsidP="0087115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</w:t>
            </w:r>
            <w:r w:rsidR="00871157"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A03C8D" w:rsidRPr="006C4194" w:rsidRDefault="00A03C8D" w:rsidP="00A03C8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348,6</w:t>
            </w:r>
          </w:p>
        </w:tc>
      </w:tr>
      <w:tr w:rsidR="006C4194" w:rsidRPr="006C4194" w:rsidTr="000878B4">
        <w:tc>
          <w:tcPr>
            <w:tcW w:w="5316" w:type="dxa"/>
            <w:shd w:val="clear" w:color="auto" w:fill="auto"/>
          </w:tcPr>
          <w:p w:rsidR="00A03C8D" w:rsidRPr="006C4194" w:rsidRDefault="00A03C8D" w:rsidP="0002781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03C8D" w:rsidRPr="006C4194" w:rsidRDefault="00A03C8D" w:rsidP="00A03C8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2126" w:type="dxa"/>
            <w:vAlign w:val="center"/>
          </w:tcPr>
          <w:p w:rsidR="00A03C8D" w:rsidRPr="006C4194" w:rsidRDefault="00A03C8D" w:rsidP="00A03C8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C8D" w:rsidRPr="006C4194" w:rsidRDefault="00A03C8D" w:rsidP="000061AA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1AA" w:rsidRPr="006C4194" w:rsidRDefault="000061AA" w:rsidP="000061AA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644"/>
      </w:tblGrid>
      <w:tr w:rsidR="006C4194" w:rsidRPr="006C4194" w:rsidTr="000878B4">
        <w:trPr>
          <w:tblHeader/>
        </w:trPr>
        <w:tc>
          <w:tcPr>
            <w:tcW w:w="4478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для начисления премии по итогам работы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 (%)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6C4194" w:rsidTr="000878B4">
        <w:tc>
          <w:tcPr>
            <w:tcW w:w="4478" w:type="dxa"/>
          </w:tcPr>
          <w:p w:rsidR="00A03C8D" w:rsidRPr="006C4194" w:rsidRDefault="00A03C8D" w:rsidP="00A03C8D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4" w:type="dxa"/>
          </w:tcPr>
          <w:p w:rsidR="00A03C8D" w:rsidRPr="006C4194" w:rsidRDefault="00A03C8D" w:rsidP="000061AA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A03C8D" w:rsidRPr="006C4194" w:rsidRDefault="00A03C8D" w:rsidP="000061AA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A0" w:rsidRPr="006C4194" w:rsidRDefault="00D14CA0" w:rsidP="00BD7A2B">
      <w:pPr>
        <w:tabs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4CA0" w:rsidRPr="006C4194" w:rsidSect="006C4194">
      <w:footerReference w:type="default" r:id="rId10"/>
      <w:pgSz w:w="11906" w:h="16838"/>
      <w:pgMar w:top="1134" w:right="1134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C8" w:rsidRDefault="00C129C8" w:rsidP="00F554A3">
      <w:pPr>
        <w:spacing w:after="0" w:line="240" w:lineRule="auto"/>
      </w:pPr>
      <w:r>
        <w:separator/>
      </w:r>
    </w:p>
  </w:endnote>
  <w:endnote w:type="continuationSeparator" w:id="0">
    <w:p w:rsidR="00C129C8" w:rsidRDefault="00C129C8" w:rsidP="00F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06024"/>
      <w:docPartObj>
        <w:docPartGallery w:val="Page Numbers (Bottom of Page)"/>
        <w:docPartUnique/>
      </w:docPartObj>
    </w:sdtPr>
    <w:sdtEndPr/>
    <w:sdtContent>
      <w:p w:rsidR="00F554A3" w:rsidRDefault="00C60BCF">
        <w:pPr>
          <w:pStyle w:val="afa"/>
          <w:jc w:val="right"/>
        </w:pPr>
        <w:r>
          <w:fldChar w:fldCharType="begin"/>
        </w:r>
        <w:r w:rsidR="00F554A3">
          <w:instrText>PAGE   \* MERGEFORMAT</w:instrText>
        </w:r>
        <w:r>
          <w:fldChar w:fldCharType="separate"/>
        </w:r>
        <w:r w:rsidR="00334FA8">
          <w:rPr>
            <w:noProof/>
          </w:rPr>
          <w:t>11</w:t>
        </w:r>
        <w:r>
          <w:fldChar w:fldCharType="end"/>
        </w:r>
      </w:p>
    </w:sdtContent>
  </w:sdt>
  <w:p w:rsidR="00F554A3" w:rsidRDefault="00F554A3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C8" w:rsidRDefault="00C129C8" w:rsidP="00F554A3">
      <w:pPr>
        <w:spacing w:after="0" w:line="240" w:lineRule="auto"/>
      </w:pPr>
      <w:r>
        <w:separator/>
      </w:r>
    </w:p>
  </w:footnote>
  <w:footnote w:type="continuationSeparator" w:id="0">
    <w:p w:rsidR="00C129C8" w:rsidRDefault="00C129C8" w:rsidP="00F5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46"/>
    <w:multiLevelType w:val="hybridMultilevel"/>
    <w:tmpl w:val="89E2149C"/>
    <w:lvl w:ilvl="0" w:tplc="152C7614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8577DD"/>
    <w:multiLevelType w:val="hybridMultilevel"/>
    <w:tmpl w:val="4B161B80"/>
    <w:lvl w:ilvl="0" w:tplc="74F2C36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A1C"/>
    <w:multiLevelType w:val="hybridMultilevel"/>
    <w:tmpl w:val="533CBB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96443FB"/>
    <w:multiLevelType w:val="hybridMultilevel"/>
    <w:tmpl w:val="2DD22F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519C"/>
    <w:multiLevelType w:val="hybridMultilevel"/>
    <w:tmpl w:val="3878E4D0"/>
    <w:lvl w:ilvl="0" w:tplc="F44A6BD4">
      <w:start w:val="3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743"/>
    <w:multiLevelType w:val="hybridMultilevel"/>
    <w:tmpl w:val="AA68CD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A016EB"/>
    <w:multiLevelType w:val="hybridMultilevel"/>
    <w:tmpl w:val="B4EA2AAA"/>
    <w:lvl w:ilvl="0" w:tplc="4B8ED40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549A"/>
    <w:multiLevelType w:val="hybridMultilevel"/>
    <w:tmpl w:val="C5109868"/>
    <w:lvl w:ilvl="0" w:tplc="DC3213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364B0CA9"/>
    <w:multiLevelType w:val="hybridMultilevel"/>
    <w:tmpl w:val="DA326170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7373DC"/>
    <w:multiLevelType w:val="hybridMultilevel"/>
    <w:tmpl w:val="3F342F7A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753DB6"/>
    <w:multiLevelType w:val="hybridMultilevel"/>
    <w:tmpl w:val="566264FC"/>
    <w:lvl w:ilvl="0" w:tplc="32F8AC9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A1115E"/>
    <w:multiLevelType w:val="hybridMultilevel"/>
    <w:tmpl w:val="E166C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8D67D7"/>
    <w:multiLevelType w:val="hybridMultilevel"/>
    <w:tmpl w:val="8DEE777C"/>
    <w:lvl w:ilvl="0" w:tplc="D93694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91C46E5"/>
    <w:multiLevelType w:val="hybridMultilevel"/>
    <w:tmpl w:val="12DCD28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6B45EB"/>
    <w:multiLevelType w:val="hybridMultilevel"/>
    <w:tmpl w:val="1C5A1B8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33B0E17"/>
    <w:multiLevelType w:val="hybridMultilevel"/>
    <w:tmpl w:val="BAC0E2D0"/>
    <w:lvl w:ilvl="0" w:tplc="C596AD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863D81"/>
    <w:multiLevelType w:val="hybridMultilevel"/>
    <w:tmpl w:val="9EA8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60321B"/>
    <w:multiLevelType w:val="hybridMultilevel"/>
    <w:tmpl w:val="E1E22A16"/>
    <w:lvl w:ilvl="0" w:tplc="0C4AD0A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D2729"/>
    <w:multiLevelType w:val="hybridMultilevel"/>
    <w:tmpl w:val="0414E26C"/>
    <w:lvl w:ilvl="0" w:tplc="186C4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DD275E"/>
    <w:multiLevelType w:val="hybridMultilevel"/>
    <w:tmpl w:val="DAC0B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3"/>
  </w:num>
  <w:num w:numId="7">
    <w:abstractNumId w:val="17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 w:numId="16">
    <w:abstractNumId w:val="2"/>
  </w:num>
  <w:num w:numId="17">
    <w:abstractNumId w:val="16"/>
  </w:num>
  <w:num w:numId="18">
    <w:abstractNumId w:val="1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71"/>
    <w:rsid w:val="000061AA"/>
    <w:rsid w:val="00047E69"/>
    <w:rsid w:val="00072379"/>
    <w:rsid w:val="000878B4"/>
    <w:rsid w:val="000A345B"/>
    <w:rsid w:val="000F771A"/>
    <w:rsid w:val="00105DB9"/>
    <w:rsid w:val="0014232E"/>
    <w:rsid w:val="001654A4"/>
    <w:rsid w:val="00170A6E"/>
    <w:rsid w:val="001C0A62"/>
    <w:rsid w:val="001F60AA"/>
    <w:rsid w:val="00212297"/>
    <w:rsid w:val="002C6D70"/>
    <w:rsid w:val="002E310E"/>
    <w:rsid w:val="00334FA8"/>
    <w:rsid w:val="003422F5"/>
    <w:rsid w:val="00354A65"/>
    <w:rsid w:val="003B5507"/>
    <w:rsid w:val="004B0F33"/>
    <w:rsid w:val="004C2EE2"/>
    <w:rsid w:val="004C53AA"/>
    <w:rsid w:val="004F44CF"/>
    <w:rsid w:val="00505FE0"/>
    <w:rsid w:val="00571585"/>
    <w:rsid w:val="005B7F60"/>
    <w:rsid w:val="00625BE0"/>
    <w:rsid w:val="00676282"/>
    <w:rsid w:val="006B1EDF"/>
    <w:rsid w:val="006C4194"/>
    <w:rsid w:val="00794249"/>
    <w:rsid w:val="00797BC7"/>
    <w:rsid w:val="007A58A5"/>
    <w:rsid w:val="007F6671"/>
    <w:rsid w:val="0082241B"/>
    <w:rsid w:val="0082625C"/>
    <w:rsid w:val="00870723"/>
    <w:rsid w:val="00871157"/>
    <w:rsid w:val="008A7B71"/>
    <w:rsid w:val="008C1C87"/>
    <w:rsid w:val="00940878"/>
    <w:rsid w:val="009E39CA"/>
    <w:rsid w:val="00A03C8D"/>
    <w:rsid w:val="00A12422"/>
    <w:rsid w:val="00A53318"/>
    <w:rsid w:val="00A67228"/>
    <w:rsid w:val="00A97C6C"/>
    <w:rsid w:val="00AC70D2"/>
    <w:rsid w:val="00B231E1"/>
    <w:rsid w:val="00BA0AB8"/>
    <w:rsid w:val="00BD7A2B"/>
    <w:rsid w:val="00C129C8"/>
    <w:rsid w:val="00C55573"/>
    <w:rsid w:val="00C578EA"/>
    <w:rsid w:val="00C60BCF"/>
    <w:rsid w:val="00CA44CF"/>
    <w:rsid w:val="00D14CA0"/>
    <w:rsid w:val="00D57F47"/>
    <w:rsid w:val="00D6628A"/>
    <w:rsid w:val="00D93627"/>
    <w:rsid w:val="00DC3F00"/>
    <w:rsid w:val="00E471E2"/>
    <w:rsid w:val="00E86797"/>
    <w:rsid w:val="00EF6924"/>
    <w:rsid w:val="00F14A1E"/>
    <w:rsid w:val="00F21525"/>
    <w:rsid w:val="00F273CA"/>
    <w:rsid w:val="00F50DCE"/>
    <w:rsid w:val="00F554A3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7910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2018-12-17T11:07:00Z</cp:lastPrinted>
  <dcterms:created xsi:type="dcterms:W3CDTF">2018-12-17T11:19:00Z</dcterms:created>
  <dcterms:modified xsi:type="dcterms:W3CDTF">2018-12-17T11:19:00Z</dcterms:modified>
</cp:coreProperties>
</file>