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Оценка</w:t>
      </w:r>
      <w:r>
        <w:rPr>
          <w:sz w:val="24"/>
          <w:szCs w:val="24"/>
        </w:rPr>
        <w:t xml:space="preserve"> эффективности муниципальной программы </w:t>
      </w:r>
      <w:r/>
    </w:p>
    <w:p>
      <w:pPr>
        <w:pStyle w:val="8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  <w:t xml:space="preserve">Доступная среда на 2022-2026 годы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/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достижения целей и решения задач</w:t>
      </w:r>
      <w:r>
        <w:rPr>
          <w:sz w:val="24"/>
          <w:szCs w:val="24"/>
        </w:rPr>
        <w:t xml:space="preserve"> муниципальной программы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Cel</w:t>
      </w:r>
      <w:r>
        <w:rPr>
          <w:sz w:val="24"/>
          <w:szCs w:val="24"/>
          <w:lang w:val="en-US"/>
        </w:rPr>
        <w:t xml:space="preserve"> = (S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 xml:space="preserve">+ S</w:t>
      </w:r>
      <w:r>
        <w:rPr>
          <w:sz w:val="24"/>
          <w:szCs w:val="24"/>
          <w:vertAlign w:val="subscript"/>
          <w:lang w:val="en-US"/>
        </w:rPr>
        <w:t xml:space="preserve">2</w:t>
      </w:r>
      <w:r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  <w:lang w:val="en-US"/>
        </w:rPr>
        <w:t xml:space="preserve">Sj</w:t>
      </w:r>
      <w:r>
        <w:rPr>
          <w:sz w:val="24"/>
          <w:szCs w:val="24"/>
          <w:lang w:val="en-US"/>
        </w:rPr>
        <w:t xml:space="preserve">) / m;</w:t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</w:t>
      </w:r>
      <w:r>
        <w:rPr>
          <w:sz w:val="24"/>
          <w:szCs w:val="24"/>
          <w:lang w:val="en-US"/>
        </w:rPr>
        <w:t xml:space="preserve">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</w:t>
      </w:r>
      <w:r>
        <w:rPr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</w:t>
      </w:r>
      <w:r>
        <w:rPr>
          <w:sz w:val="24"/>
          <w:szCs w:val="24"/>
        </w:rPr>
        <w:t xml:space="preserve"> - оценка значения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 - число показателей, характеризующих степень достижения цели, решения задачи государственной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значения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муниципальной программы (подпрограммы) производится по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</w:t>
      </w:r>
      <w:r>
        <w:rPr>
          <w:sz w:val="24"/>
          <w:szCs w:val="24"/>
        </w:rPr>
        <w:t xml:space="preserve"> = (</w:t>
      </w:r>
      <w:r>
        <w:rPr>
          <w:sz w:val="24"/>
          <w:szCs w:val="24"/>
        </w:rPr>
        <w:t xml:space="preserve">Fj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Pj</w:t>
      </w:r>
      <w:r>
        <w:rPr>
          <w:sz w:val="24"/>
          <w:szCs w:val="24"/>
        </w:rPr>
        <w:t xml:space="preserve">)*100%,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Fj</w:t>
      </w:r>
      <w:r>
        <w:rPr>
          <w:sz w:val="24"/>
          <w:szCs w:val="24"/>
        </w:rPr>
        <w:t xml:space="preserve"> - фактическое значение i-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индикатора (показателя) муниципальной программы;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</w:t>
      </w:r>
      <w:r>
        <w:rPr>
          <w:sz w:val="24"/>
          <w:szCs w:val="24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S; = (</w:t>
      </w:r>
      <w:r>
        <w:rPr>
          <w:sz w:val="24"/>
          <w:szCs w:val="24"/>
        </w:rPr>
        <w:t xml:space="preserve">Pj</w:t>
      </w:r>
      <w:r>
        <w:rPr>
          <w:sz w:val="24"/>
          <w:szCs w:val="24"/>
        </w:rPr>
        <w:t xml:space="preserve"> / F;)*100% (для индикаторов (показателей), желаемой тенденцией развития которых является снижение значений).</w:t>
      </w:r>
      <w:r/>
    </w:p>
    <w:p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случае превышения 100% выполнения расчетного значения показателя значение показателя принимается </w:t>
      </w:r>
      <w:r>
        <w:rPr>
          <w:i/>
          <w:sz w:val="24"/>
          <w:szCs w:val="24"/>
        </w:rPr>
        <w:t xml:space="preserve">равным</w:t>
      </w:r>
      <w:r>
        <w:rPr>
          <w:i/>
          <w:sz w:val="24"/>
          <w:szCs w:val="24"/>
        </w:rPr>
        <w:t xml:space="preserve"> 100%.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3"/>
        <w:ind w:left="0" w:right="0" w:firstLine="567"/>
        <w:jc w:val="both"/>
      </w:pPr>
      <w:r>
        <w:rPr>
          <w:sz w:val="24"/>
          <w:szCs w:val="24"/>
          <w:lang w:val="en-US"/>
        </w:rPr>
        <w:t xml:space="preserve">S</w:t>
      </w:r>
      <w:r>
        <w:rPr>
          <w:sz w:val="24"/>
          <w:szCs w:val="24"/>
        </w:rPr>
        <w:t xml:space="preserve">(</w:t>
      </w:r>
      <w:r>
        <w:rPr>
          <w:sz w:val="24"/>
          <w:szCs w:val="24"/>
          <w:highlight w:val="white"/>
        </w:rPr>
      </w:r>
      <w:r>
        <w:rPr>
          <w:sz w:val="24"/>
          <w:szCs w:val="24"/>
        </w:rPr>
        <w:t xml:space="preserve">Доля сотруд</w:t>
      </w:r>
      <w:r>
        <w:rPr>
          <w:sz w:val="24"/>
          <w:szCs w:val="24"/>
        </w:rPr>
        <w:t xml:space="preserve">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(от общего количества таких сотрудников)</w:t>
      </w:r>
      <w:r>
        <w:rPr>
          <w:sz w:val="24"/>
          <w:szCs w:val="24"/>
        </w:rPr>
      </w:r>
      <w:r/>
      <w:r>
        <w:rPr>
          <w:sz w:val="24"/>
          <w:szCs w:val="24"/>
        </w:rPr>
      </w:r>
      <w:r>
        <w:rPr>
          <w:sz w:val="24"/>
          <w:szCs w:val="24"/>
        </w:rPr>
        <w:t xml:space="preserve"> = (</w:t>
      </w:r>
      <w:r>
        <w:rPr>
          <w:sz w:val="24"/>
          <w:szCs w:val="24"/>
        </w:rPr>
        <w:t xml:space="preserve">100/</w:t>
      </w:r>
      <w:r>
        <w:rPr>
          <w:sz w:val="24"/>
          <w:szCs w:val="24"/>
          <w:highlight w:val="none"/>
        </w:rPr>
        <w:t xml:space="preserve">100</w:t>
      </w:r>
      <w:r>
        <w:rPr>
          <w:sz w:val="24"/>
          <w:szCs w:val="24"/>
          <w:highlight w:val="white"/>
        </w:rPr>
        <w:t xml:space="preserve">)*100%=</w:t>
      </w:r>
      <w:r>
        <w:rPr>
          <w:sz w:val="24"/>
          <w:szCs w:val="24"/>
          <w:highlight w:val="white"/>
        </w:rPr>
        <w:t xml:space="preserve">100%</w:t>
      </w:r>
      <w:r>
        <w:rPr>
          <w:sz w:val="24"/>
          <w:szCs w:val="24"/>
          <w:highlight w:val="white"/>
        </w:rPr>
        <w:t xml:space="preserve"> </w:t>
      </w:r>
      <w:r/>
      <w:r/>
      <w:r>
        <w:rPr>
          <w:sz w:val="24"/>
          <w:szCs w:val="24"/>
        </w:rPr>
      </w:r>
    </w:p>
    <w:p>
      <w:pPr>
        <w:pStyle w:val="813"/>
        <w:ind w:left="0" w:right="0" w:firstLine="567"/>
        <w:jc w:val="both"/>
      </w:pPr>
      <w:r>
        <w:rPr>
          <w:sz w:val="24"/>
          <w:szCs w:val="24"/>
          <w:highlight w:val="white"/>
          <w:lang w:val="en-US"/>
        </w:rPr>
        <w:t xml:space="preserve">S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</w:r>
      <w:r>
        <w:rPr>
          <w:sz w:val="24"/>
          <w:szCs w:val="24"/>
        </w:rPr>
        <w:t xml:space="preserve">Удельный вес объектов имеющих утвержденные паспорта доступности объектов и предоставляемых на них услуг (от общего их количества)</w:t>
      </w:r>
      <w:r>
        <w:rPr>
          <w:sz w:val="24"/>
          <w:szCs w:val="24"/>
        </w:rPr>
        <w:t xml:space="preserve"> </w:t>
      </w:r>
      <w:r/>
      <w:r>
        <w:rPr>
          <w:sz w:val="24"/>
          <w:szCs w:val="24"/>
          <w:highlight w:val="white"/>
        </w:rPr>
        <w:t xml:space="preserve">= (</w:t>
      </w:r>
      <w:r>
        <w:rPr>
          <w:sz w:val="24"/>
          <w:szCs w:val="24"/>
          <w:highlight w:val="white"/>
        </w:rPr>
        <w:t xml:space="preserve">100/100</w:t>
      </w:r>
      <w:r>
        <w:rPr>
          <w:sz w:val="24"/>
          <w:szCs w:val="24"/>
          <w:highlight w:val="white"/>
        </w:rPr>
        <w:t xml:space="preserve">)*100%=100%</w:t>
      </w:r>
      <w:r/>
      <w:r/>
      <w:r>
        <w:rPr>
          <w:sz w:val="24"/>
          <w:szCs w:val="24"/>
        </w:rPr>
      </w:r>
    </w:p>
    <w:p>
      <w:pPr>
        <w:pStyle w:val="813"/>
        <w:ind w:left="0" w:right="0" w:firstLine="567"/>
        <w:jc w:val="both"/>
      </w:pPr>
      <w:r>
        <w:rPr>
          <w:sz w:val="24"/>
          <w:szCs w:val="24"/>
          <w:highlight w:val="white"/>
          <w:lang w:val="en-US"/>
        </w:rPr>
        <w:t xml:space="preserve">S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</w:rPr>
      </w:r>
      <w:r>
        <w:rPr>
          <w:sz w:val="24"/>
          <w:szCs w:val="24"/>
        </w:rPr>
        <w:t xml:space="preserve">Удельный вес инвалидов, обучающихся по адаптированным основным общеобразовательным программам в отдельных (коррекционных) классах общеобразовательных организациях, от общего числа обучающихся инвалидов</w:t>
      </w:r>
      <w:r>
        <w:rPr>
          <w:sz w:val="24"/>
          <w:szCs w:val="24"/>
        </w:rPr>
      </w:r>
      <w:r/>
      <w:r>
        <w:rPr>
          <w:sz w:val="24"/>
          <w:szCs w:val="24"/>
          <w:highlight w:val="white"/>
        </w:rPr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= (</w:t>
      </w:r>
      <w:r>
        <w:rPr>
          <w:sz w:val="24"/>
          <w:szCs w:val="24"/>
          <w:highlight w:val="white"/>
        </w:rPr>
        <w:t xml:space="preserve">100/100</w:t>
      </w:r>
      <w:r>
        <w:rPr>
          <w:sz w:val="24"/>
          <w:szCs w:val="24"/>
          <w:highlight w:val="white"/>
        </w:rPr>
        <w:t xml:space="preserve">)*100%=100%</w:t>
      </w:r>
      <w:r/>
      <w:r/>
      <w:r>
        <w:rPr>
          <w:sz w:val="24"/>
          <w:szCs w:val="24"/>
        </w:rPr>
      </w:r>
    </w:p>
    <w:p>
      <w:pPr>
        <w:pStyle w:val="813"/>
        <w:ind w:left="0" w:right="0" w:firstLine="567"/>
        <w:jc w:val="both"/>
      </w:pPr>
      <w:r>
        <w:rPr>
          <w:sz w:val="24"/>
          <w:szCs w:val="24"/>
          <w:highlight w:val="white"/>
          <w:lang w:val="en-US"/>
        </w:rPr>
        <w:t xml:space="preserve">S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</w:rPr>
      </w:r>
      <w:r>
        <w:rPr>
          <w:sz w:val="24"/>
          <w:szCs w:val="24"/>
        </w:rPr>
        <w:t xml:space="preserve">Доля инвалидов, получающих образование на дому, в том числе дистанционно, от общего числа обучающихся инвалидов</w:t>
      </w:r>
      <w:r>
        <w:rPr>
          <w:sz w:val="24"/>
          <w:szCs w:val="24"/>
        </w:rPr>
      </w:r>
      <w:r/>
      <w:r>
        <w:rPr>
          <w:sz w:val="24"/>
          <w:szCs w:val="24"/>
          <w:highlight w:val="white"/>
        </w:rPr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= (</w:t>
      </w:r>
      <w:r>
        <w:rPr>
          <w:sz w:val="24"/>
          <w:szCs w:val="24"/>
          <w:highlight w:val="white"/>
        </w:rPr>
        <w:t xml:space="preserve">9,5/9,5</w:t>
      </w:r>
      <w:r>
        <w:rPr>
          <w:sz w:val="24"/>
          <w:szCs w:val="24"/>
          <w:highlight w:val="white"/>
        </w:rPr>
        <w:t xml:space="preserve">)*100%=100%</w:t>
      </w:r>
      <w:r/>
      <w:r/>
      <w:r>
        <w:rPr>
          <w:sz w:val="24"/>
          <w:szCs w:val="24"/>
        </w:rPr>
      </w:r>
    </w:p>
    <w:p>
      <w:pPr>
        <w:ind w:firstLine="567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lang w:val="en-US"/>
        </w:rPr>
        <w:t xml:space="preserve">Ce</w:t>
      </w:r>
      <w:r>
        <w:rPr>
          <w:sz w:val="24"/>
          <w:szCs w:val="24"/>
          <w:highlight w:val="white"/>
          <w:lang w:val="en-US"/>
        </w:rPr>
        <w:t xml:space="preserve">l</w:t>
      </w:r>
      <w:r>
        <w:rPr>
          <w:sz w:val="24"/>
          <w:szCs w:val="24"/>
          <w:highlight w:val="white"/>
        </w:rPr>
        <w:t xml:space="preserve">=</w:t>
      </w:r>
      <w:r>
        <w:rPr>
          <w:sz w:val="24"/>
          <w:szCs w:val="24"/>
          <w:highlight w:val="white"/>
        </w:rPr>
        <w:t xml:space="preserve">(</w:t>
      </w:r>
      <w:r>
        <w:rPr>
          <w:sz w:val="24"/>
          <w:szCs w:val="24"/>
          <w:highlight w:val="white"/>
        </w:rPr>
        <w:t xml:space="preserve">100%+</w:t>
      </w:r>
      <w:r>
        <w:rPr>
          <w:sz w:val="24"/>
          <w:szCs w:val="24"/>
          <w:highlight w:val="white"/>
        </w:rPr>
        <w:t xml:space="preserve">100%+100%+100%)/2=100</w:t>
      </w:r>
      <w:r>
        <w:rPr>
          <w:sz w:val="24"/>
          <w:szCs w:val="24"/>
          <w:highlight w:val="white"/>
        </w:rPr>
        <w:t xml:space="preserve">%</w:t>
      </w:r>
      <w:r>
        <w:rPr>
          <w:highlight w:val="white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соответствия запланированному уровню затрат и эффективности использования средств местного бюджета</w:t>
      </w:r>
      <w:r>
        <w:rPr>
          <w:sz w:val="24"/>
          <w:szCs w:val="24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= К</w:t>
      </w:r>
      <w:r>
        <w:rPr>
          <w:sz w:val="24"/>
          <w:szCs w:val="24"/>
        </w:rPr>
        <w:t xml:space="preserve">/L* 100%,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  <w:r/>
    </w:p>
    <w:p>
      <w:pPr>
        <w:ind w:firstLine="567"/>
        <w:jc w:val="both"/>
        <w:rPr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0/0</w:t>
      </w:r>
      <w:r>
        <w:rPr>
          <w:sz w:val="24"/>
          <w:szCs w:val="24"/>
        </w:rPr>
        <w:t xml:space="preserve">)*100%=10</w:t>
      </w:r>
      <w:r>
        <w:rPr>
          <w:sz w:val="24"/>
          <w:szCs w:val="24"/>
        </w:rPr>
        <w:t xml:space="preserve">0</w:t>
      </w:r>
      <w:r>
        <w:t xml:space="preserve">%</w:t>
      </w: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Оценка степени реализации мероприятий (достижения ожидаемых непосредственных результатов их реализации)</w:t>
      </w:r>
      <w:r>
        <w:rPr>
          <w:sz w:val="24"/>
          <w:szCs w:val="24"/>
        </w:rPr>
        <w:t xml:space="preserve"> муниципальной программы (подпрограммы) производится по следующей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Мег = (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 xml:space="preserve">R</w:t>
      </w:r>
      <w:r>
        <w:rPr>
          <w:sz w:val="24"/>
          <w:szCs w:val="24"/>
          <w:vertAlign w:val="subscript"/>
        </w:rPr>
        <w:t xml:space="preserve">2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 xml:space="preserve">Rj</w:t>
      </w:r>
      <w:r>
        <w:rPr>
          <w:sz w:val="24"/>
          <w:szCs w:val="24"/>
        </w:rPr>
        <w:t xml:space="preserve">)*100%)/ </w:t>
      </w: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Мег - оценка степени реализации мероприятий муниципальной программы (подпрограммы);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Rj</w:t>
      </w:r>
      <w:r>
        <w:rPr>
          <w:sz w:val="24"/>
          <w:szCs w:val="24"/>
        </w:rPr>
        <w:t xml:space="preserve"> - показатель достижения ожидаемого непосредственного результата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j-</w:t>
      </w:r>
      <w:r>
        <w:rPr>
          <w:sz w:val="24"/>
          <w:szCs w:val="24"/>
        </w:rPr>
        <w:t xml:space="preserve">ro</w:t>
      </w:r>
      <w:r>
        <w:rPr>
          <w:sz w:val="24"/>
          <w:szCs w:val="24"/>
        </w:rPr>
        <w:t xml:space="preserve"> мероприятия муниципальной программы (подпрограммы), </w:t>
      </w:r>
      <w:r>
        <w:rPr>
          <w:sz w:val="24"/>
          <w:szCs w:val="24"/>
        </w:rPr>
        <w:t xml:space="preserve">определяемый</w:t>
      </w:r>
      <w:r>
        <w:rPr>
          <w:sz w:val="24"/>
          <w:szCs w:val="24"/>
        </w:rPr>
        <w:t xml:space="preserve"> в случае достижения непосредственного результата в отчетном периоде как «1», в случае не достижения непосредственного результата - как «0»;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количество</w:t>
      </w:r>
      <w:r>
        <w:rPr>
          <w:sz w:val="24"/>
          <w:szCs w:val="24"/>
        </w:rPr>
        <w:t xml:space="preserve"> мероприятий, включенных в муниципальную программу </w:t>
      </w:r>
      <w:r>
        <w:rPr>
          <w:sz w:val="24"/>
          <w:szCs w:val="24"/>
        </w:rPr>
        <w:t xml:space="preserve">(подпрограмму).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Mer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7*100%)/11</w:t>
      </w:r>
      <w:r>
        <w:rPr>
          <w:sz w:val="24"/>
          <w:szCs w:val="24"/>
        </w:rPr>
        <w:t xml:space="preserve">=</w:t>
      </w:r>
      <w:r>
        <w:rPr>
          <w:sz w:val="24"/>
          <w:szCs w:val="24"/>
        </w:rPr>
        <w:t xml:space="preserve">63,6%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Комплексная оценка эффективности реализации муниципальной программы</w:t>
      </w:r>
      <w:r>
        <w:rPr>
          <w:sz w:val="24"/>
          <w:szCs w:val="24"/>
        </w:rPr>
        <w:t xml:space="preserve"> (далее – «комплексная оценка») производится по следующей формуле: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= (</w:t>
      </w:r>
      <w:r>
        <w:rPr>
          <w:sz w:val="24"/>
          <w:szCs w:val="24"/>
        </w:rPr>
        <w:t xml:space="preserve">Cel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Fin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t xml:space="preserve">Mer</w:t>
      </w:r>
      <w:r>
        <w:rPr>
          <w:sz w:val="24"/>
          <w:szCs w:val="24"/>
        </w:rPr>
        <w:t xml:space="preserve">)/3,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где: О - комплексная оценка.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О=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100%+10</w:t>
      </w:r>
      <w:r>
        <w:rPr>
          <w:sz w:val="24"/>
          <w:szCs w:val="24"/>
        </w:rPr>
        <w:t xml:space="preserve">0+63,6%)/</w:t>
      </w:r>
      <w:r>
        <w:rPr>
          <w:sz w:val="24"/>
          <w:szCs w:val="24"/>
        </w:rPr>
        <w:t xml:space="preserve">3=</w:t>
      </w:r>
      <w:r>
        <w:rPr>
          <w:sz w:val="24"/>
          <w:szCs w:val="24"/>
        </w:rPr>
        <w:t xml:space="preserve">87,9%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Реализация муниципальной программы может характеризоваться: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высоким уровнем эффективности;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средним уровнем эффективности;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низким уровнем эффективности.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Муниципальная программа считается реализуемой с высоким уровнем эффективности, если комплексная оценка составляет 80 % и более.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  <w:r/>
    </w:p>
    <w:p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13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Выводы:</w:t>
      </w:r>
      <w:r>
        <w:rPr>
          <w:sz w:val="24"/>
          <w:szCs w:val="24"/>
        </w:rPr>
        <w:t xml:space="preserve"> реализация муниципальной программ</w:t>
      </w:r>
      <w:r>
        <w:rPr>
          <w:sz w:val="24"/>
          <w:szCs w:val="24"/>
        </w:rPr>
        <w:t xml:space="preserve">ы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  <w:t xml:space="preserve">Доступная среда на 2022-2026 годы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в 202</w:t>
      </w:r>
      <w:r>
        <w:rPr>
          <w:sz w:val="24"/>
          <w:szCs w:val="24"/>
        </w:rPr>
        <w:t xml:space="preserve">3</w:t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характеризуется высоким уровнем эффективности.</w:t>
      </w:r>
      <w:r>
        <w:rPr>
          <w:sz w:val="24"/>
          <w:szCs w:val="24"/>
        </w:rPr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568" w:right="992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PC61</dc:creator>
  <cp:revision>8</cp:revision>
  <dcterms:created xsi:type="dcterms:W3CDTF">2022-10-11T08:15:00Z</dcterms:created>
  <dcterms:modified xsi:type="dcterms:W3CDTF">2024-08-29T11:13:27Z</dcterms:modified>
</cp:coreProperties>
</file>